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9CF" w:rsidRPr="00316005" w:rsidRDefault="002C3678" w:rsidP="004869CF">
      <w:pPr>
        <w:jc w:val="both"/>
        <w:rPr>
          <w:rFonts w:ascii="Times New Roman" w:hAnsi="Times New Roman" w:cs="Times New Roman"/>
          <w:b/>
          <w:color w:val="2E74B5" w:themeColor="accent1" w:themeShade="BF"/>
        </w:rPr>
      </w:pPr>
      <w:r>
        <w:rPr>
          <w:rFonts w:ascii="Times New Roman" w:hAnsi="Times New Roman" w:cs="Times New Roman"/>
          <w:b/>
          <w:color w:val="2E74B5" w:themeColor="accent1" w:themeShade="BF"/>
        </w:rPr>
        <w:t>Background Material for</w:t>
      </w:r>
      <w:r w:rsidR="004869CF" w:rsidRPr="00316005">
        <w:rPr>
          <w:rFonts w:ascii="Times New Roman" w:hAnsi="Times New Roman" w:cs="Times New Roman"/>
          <w:b/>
          <w:color w:val="2E74B5" w:themeColor="accent1" w:themeShade="BF"/>
        </w:rPr>
        <w:t xml:space="preserve"> Joint CONCEPT-HEAT / DCVP meeting </w:t>
      </w:r>
    </w:p>
    <w:p w:rsidR="004869CF" w:rsidRPr="00316005" w:rsidRDefault="004869CF" w:rsidP="004869CF">
      <w:pPr>
        <w:spacing w:after="120"/>
        <w:jc w:val="both"/>
        <w:rPr>
          <w:rFonts w:ascii="Times New Roman" w:hAnsi="Times New Roman" w:cs="Times New Roman"/>
        </w:rPr>
      </w:pPr>
      <w:r w:rsidRPr="00316005">
        <w:rPr>
          <w:rFonts w:ascii="Times New Roman" w:hAnsi="Times New Roman" w:cs="Times New Roman"/>
        </w:rPr>
        <w:t>The objectives of Decadal Climate Variability and Predictability (DCVP) are to advance the mechanistic understanding of (specifically) Pacific and Atlantic ocean-atmosphere interactions that lead to decadal and longer climate variability; determine and quantify their predictability and contribute to improving the tools and methods that enable actual prediction of the respective phenomena. CONCEPT-HEAT has the main objective to build up a multi-disciplinary synergy community for climate research aiming to work on two different issues:</w:t>
      </w:r>
    </w:p>
    <w:p w:rsidR="004869CF" w:rsidRPr="00515E7D" w:rsidRDefault="004869CF" w:rsidP="00515E7D">
      <w:pPr>
        <w:pStyle w:val="ListParagraph"/>
        <w:numPr>
          <w:ilvl w:val="0"/>
          <w:numId w:val="4"/>
        </w:numPr>
        <w:spacing w:after="120"/>
        <w:jc w:val="both"/>
        <w:rPr>
          <w:rFonts w:ascii="Times New Roman" w:hAnsi="Times New Roman" w:cs="Times New Roman"/>
        </w:rPr>
      </w:pPr>
      <w:r w:rsidRPr="00316005">
        <w:rPr>
          <w:rFonts w:ascii="Times New Roman" w:hAnsi="Times New Roman" w:cs="Times New Roman"/>
        </w:rPr>
        <w:t>Quantify Earth’s energy imbalance, the ocean heat budget, and atmosphere-ocean turbulent and radiative heat fluxes, their observational uncertainty, and their variability for a range of time and space scales using different observing strategies (e.g., in-situ ocean, satellite), reanalys</w:t>
      </w:r>
      <w:r>
        <w:rPr>
          <w:rFonts w:ascii="Times New Roman" w:hAnsi="Times New Roman" w:cs="Times New Roman"/>
        </w:rPr>
        <w:t>is systems, and climate models.</w:t>
      </w:r>
    </w:p>
    <w:p w:rsidR="004869CF" w:rsidRPr="00316005" w:rsidRDefault="004869CF" w:rsidP="004869CF">
      <w:pPr>
        <w:pStyle w:val="ListParagraph"/>
        <w:numPr>
          <w:ilvl w:val="0"/>
          <w:numId w:val="4"/>
        </w:numPr>
        <w:spacing w:after="120"/>
        <w:jc w:val="both"/>
        <w:rPr>
          <w:rFonts w:ascii="Times New Roman" w:hAnsi="Times New Roman" w:cs="Times New Roman"/>
        </w:rPr>
      </w:pPr>
      <w:r w:rsidRPr="00316005">
        <w:rPr>
          <w:rFonts w:ascii="Times New Roman" w:hAnsi="Times New Roman" w:cs="Times New Roman"/>
        </w:rPr>
        <w:t>Analyze the consistency between the satellite-based planetary heat balance and ocean heat storage estimates, using data sets and information products from global observing systems (remote sensing and in situ) and ocean reanalysis, and compare these results to outputs from climate models to obtain validation requirements (for model and observations).</w:t>
      </w:r>
    </w:p>
    <w:p w:rsidR="004869CF" w:rsidRDefault="004869CF" w:rsidP="004869CF">
      <w:pPr>
        <w:spacing w:after="120"/>
        <w:jc w:val="both"/>
        <w:rPr>
          <w:rFonts w:ascii="Times New Roman" w:hAnsi="Times New Roman" w:cs="Times New Roman"/>
        </w:rPr>
      </w:pPr>
      <w:r w:rsidRPr="00316005">
        <w:rPr>
          <w:rFonts w:ascii="Times New Roman" w:hAnsi="Times New Roman" w:cs="Times New Roman"/>
        </w:rPr>
        <w:t>The collaboration between the two working groups provides an effective way for CLIVAR to achieve its long-term goal of understanding ocean-atmosphere interaction and its impact on climate.  Two key points follow:</w:t>
      </w:r>
    </w:p>
    <w:p w:rsidR="004869CF" w:rsidRDefault="004869CF" w:rsidP="004869CF">
      <w:pPr>
        <w:pStyle w:val="ListParagraph"/>
        <w:numPr>
          <w:ilvl w:val="0"/>
          <w:numId w:val="5"/>
        </w:numPr>
        <w:tabs>
          <w:tab w:val="left" w:pos="360"/>
        </w:tabs>
        <w:spacing w:after="120"/>
        <w:ind w:left="360"/>
        <w:jc w:val="both"/>
        <w:rPr>
          <w:rFonts w:ascii="Times New Roman" w:hAnsi="Times New Roman" w:cs="Times New Roman"/>
        </w:rPr>
      </w:pPr>
      <w:r w:rsidRPr="00316005">
        <w:rPr>
          <w:rFonts w:ascii="Times New Roman" w:hAnsi="Times New Roman" w:cs="Times New Roman"/>
        </w:rPr>
        <w:t xml:space="preserve">There is an </w:t>
      </w:r>
      <w:r w:rsidRPr="00316005">
        <w:rPr>
          <w:rFonts w:ascii="Times New Roman" w:hAnsi="Times New Roman" w:cs="Times New Roman"/>
          <w:b/>
        </w:rPr>
        <w:t>energy imbalance</w:t>
      </w:r>
      <w:r w:rsidRPr="00316005">
        <w:rPr>
          <w:rFonts w:ascii="Times New Roman" w:hAnsi="Times New Roman" w:cs="Times New Roman"/>
        </w:rPr>
        <w:t xml:space="preserve"> at the top-of-atmosphere associated with the increasing heat-trapping gases in the atmosphere, such as carbon dioxide from human activities.  Some 93% of this excess heat ends up in the ocean, while the rest warms the land and atmosphere, and melts both land and sea ice.  The heat gets sequestered for varying times, moved around, but may come back into the atmosphere and have profound influences on regional climate.  The best example is the El Niño phenomenon.  </w:t>
      </w:r>
    </w:p>
    <w:p w:rsidR="004869CF" w:rsidRPr="00316005" w:rsidRDefault="004869CF" w:rsidP="004869CF">
      <w:pPr>
        <w:pStyle w:val="ListParagraph"/>
        <w:tabs>
          <w:tab w:val="left" w:pos="360"/>
        </w:tabs>
        <w:spacing w:after="120"/>
        <w:ind w:left="360"/>
        <w:jc w:val="both"/>
        <w:rPr>
          <w:rFonts w:ascii="Times New Roman" w:hAnsi="Times New Roman" w:cs="Times New Roman"/>
        </w:rPr>
      </w:pPr>
    </w:p>
    <w:p w:rsidR="004869CF" w:rsidRDefault="004869CF" w:rsidP="004869CF">
      <w:pPr>
        <w:pStyle w:val="ListParagraph"/>
        <w:numPr>
          <w:ilvl w:val="0"/>
          <w:numId w:val="5"/>
        </w:numPr>
        <w:tabs>
          <w:tab w:val="left" w:pos="360"/>
        </w:tabs>
        <w:spacing w:after="120"/>
        <w:ind w:left="360"/>
        <w:jc w:val="both"/>
        <w:rPr>
          <w:rFonts w:ascii="Times New Roman" w:hAnsi="Times New Roman" w:cs="Times New Roman"/>
        </w:rPr>
      </w:pPr>
      <w:r w:rsidRPr="00316005">
        <w:rPr>
          <w:rFonts w:ascii="Times New Roman" w:hAnsi="Times New Roman" w:cs="Times New Roman"/>
        </w:rPr>
        <w:t xml:space="preserve">Certain preferred patterns of variability in the ocean-atmosphere system occur on multi-year time scales and may be </w:t>
      </w:r>
      <w:r w:rsidRPr="00316005">
        <w:rPr>
          <w:rFonts w:ascii="Times New Roman" w:hAnsi="Times New Roman" w:cs="Times New Roman"/>
          <w:b/>
        </w:rPr>
        <w:t>predictable</w:t>
      </w:r>
      <w:r w:rsidRPr="00316005">
        <w:rPr>
          <w:rFonts w:ascii="Times New Roman" w:hAnsi="Times New Roman" w:cs="Times New Roman"/>
        </w:rPr>
        <w:t>.  An example is the AMOC: the Atlantic Meridional Overturning Circulation, which is responsible for over 90% of the northward heat transport in the North Atlantic Ocean including into the Arctic.   Not only these patterns (modes), but also any anomalous heat in the ocean can influence subsequent atmospheric evolution and thus climate.  It is essential to track and predict this variability and separate it out from the relentless climate change associated with human influences in order to make better decisions concerning adapting and building resilience to, and understanding impacts of climate change</w:t>
      </w:r>
    </w:p>
    <w:p w:rsidR="004869CF" w:rsidRPr="00316005" w:rsidRDefault="004869CF" w:rsidP="004869CF">
      <w:pPr>
        <w:spacing w:after="120"/>
        <w:jc w:val="both"/>
        <w:rPr>
          <w:rFonts w:ascii="Times New Roman" w:hAnsi="Times New Roman" w:cs="Times New Roman"/>
        </w:rPr>
      </w:pPr>
      <w:r w:rsidRPr="00316005">
        <w:rPr>
          <w:rFonts w:ascii="Times New Roman" w:hAnsi="Times New Roman" w:cs="Times New Roman"/>
        </w:rPr>
        <w:t>These 2 points are common to C-H and DCVP.</w:t>
      </w:r>
    </w:p>
    <w:p w:rsidR="004869CF" w:rsidRPr="00C161B8" w:rsidRDefault="004869CF" w:rsidP="004869CF">
      <w:pPr>
        <w:spacing w:after="120"/>
        <w:jc w:val="both"/>
        <w:rPr>
          <w:rFonts w:ascii="Times New Roman" w:hAnsi="Times New Roman" w:cs="Times New Roman"/>
          <w:b/>
          <w:u w:val="single"/>
        </w:rPr>
      </w:pPr>
      <w:r w:rsidRPr="00C161B8">
        <w:rPr>
          <w:rFonts w:ascii="Times New Roman" w:hAnsi="Times New Roman" w:cs="Times New Roman"/>
          <w:b/>
          <w:u w:val="single"/>
        </w:rPr>
        <w:t>Proposed discussion topics:</w:t>
      </w:r>
    </w:p>
    <w:p w:rsidR="004869CF" w:rsidRPr="00316005" w:rsidRDefault="004869CF" w:rsidP="004869CF">
      <w:pPr>
        <w:pStyle w:val="ListParagraph"/>
        <w:numPr>
          <w:ilvl w:val="0"/>
          <w:numId w:val="2"/>
        </w:numPr>
        <w:spacing w:after="120"/>
        <w:jc w:val="both"/>
        <w:rPr>
          <w:rFonts w:ascii="Times New Roman" w:hAnsi="Times New Roman" w:cs="Times New Roman"/>
        </w:rPr>
      </w:pPr>
      <w:r w:rsidRPr="00316005">
        <w:rPr>
          <w:rFonts w:ascii="Times New Roman" w:hAnsi="Times New Roman" w:cs="Times New Roman"/>
          <w:b/>
          <w:color w:val="2E74B5" w:themeColor="accent1" w:themeShade="BF"/>
        </w:rPr>
        <w:t>Discussion on joint key scientific questions:</w:t>
      </w:r>
      <w:r w:rsidRPr="00316005">
        <w:rPr>
          <w:rFonts w:ascii="Times New Roman" w:hAnsi="Times New Roman" w:cs="Times New Roman"/>
          <w:color w:val="2E74B5" w:themeColor="accent1" w:themeShade="BF"/>
        </w:rPr>
        <w:t xml:space="preserve"> </w:t>
      </w:r>
      <w:r w:rsidRPr="00316005">
        <w:rPr>
          <w:rFonts w:ascii="Times New Roman" w:hAnsi="Times New Roman" w:cs="Times New Roman"/>
        </w:rPr>
        <w:t>DCV can act as a strong and significant modulator of global and regional mean surface and associated energy balance at the surface (e.g. recent hiatus). In particular, the breakdown of global scale signal in EEI and OHC in relation to change in ocean dynamics (AMOC, heat uptake etc.…) can be discussed and the role of observations, analyses and reanalyses, and models. We propose here a number of joint key scientific questions for both CLIVAR research foci:</w:t>
      </w:r>
    </w:p>
    <w:p w:rsidR="004869CF" w:rsidRPr="00316005" w:rsidRDefault="004869CF" w:rsidP="004869CF">
      <w:pPr>
        <w:pStyle w:val="ListParagraph"/>
        <w:spacing w:after="120"/>
        <w:jc w:val="both"/>
        <w:rPr>
          <w:rFonts w:ascii="Times New Roman" w:hAnsi="Times New Roman" w:cs="Times New Roman"/>
        </w:rPr>
      </w:pPr>
    </w:p>
    <w:p w:rsidR="004869CF" w:rsidRPr="00316005" w:rsidRDefault="004869CF" w:rsidP="004869CF">
      <w:pPr>
        <w:pStyle w:val="ListParagraph"/>
        <w:numPr>
          <w:ilvl w:val="1"/>
          <w:numId w:val="3"/>
        </w:numPr>
        <w:spacing w:after="120"/>
        <w:contextualSpacing w:val="0"/>
        <w:jc w:val="both"/>
        <w:rPr>
          <w:rFonts w:ascii="Times New Roman" w:hAnsi="Times New Roman" w:cs="Times New Roman"/>
        </w:rPr>
      </w:pPr>
      <w:r>
        <w:rPr>
          <w:rFonts w:ascii="Times New Roman" w:hAnsi="Times New Roman" w:cs="Times New Roman"/>
        </w:rPr>
        <w:t>Is there a joint activity related to analysis or model diagnostics that would throw light on the i</w:t>
      </w:r>
      <w:r w:rsidRPr="00316005">
        <w:rPr>
          <w:rFonts w:ascii="Times New Roman" w:hAnsi="Times New Roman" w:cs="Times New Roman"/>
        </w:rPr>
        <w:t>dentification of key regions for heat sequestration int</w:t>
      </w:r>
      <w:r>
        <w:rPr>
          <w:rFonts w:ascii="Times New Roman" w:hAnsi="Times New Roman" w:cs="Times New Roman"/>
        </w:rPr>
        <w:t>o the deep ocean related to DCV?  (i)</w:t>
      </w:r>
      <w:r w:rsidRPr="00316005">
        <w:rPr>
          <w:rFonts w:ascii="Times New Roman" w:hAnsi="Times New Roman" w:cs="Times New Roman"/>
        </w:rPr>
        <w:t xml:space="preserve"> Various studies have highlighted key regions and mechanisms for the sequestration of heat into the deeper layers of the ocean (below thermocline). </w:t>
      </w:r>
      <w:r>
        <w:rPr>
          <w:rFonts w:ascii="Times New Roman" w:hAnsi="Times New Roman" w:cs="Times New Roman"/>
        </w:rPr>
        <w:t xml:space="preserve">(ii) </w:t>
      </w:r>
      <w:r w:rsidRPr="00316005">
        <w:rPr>
          <w:rFonts w:ascii="Times New Roman" w:hAnsi="Times New Roman" w:cs="Times New Roman"/>
        </w:rPr>
        <w:t xml:space="preserve">Advancements in the quantification of this vertical heat distribution, understanding of these mechanisms, and the further identification of key regions are one of the core aspects for CONCEPT-HEAT helping to understand and quantify warming of the deep ocean (below 2000m depth), which in turn can improve the quantification of the absolute value for EEI estimates. </w:t>
      </w:r>
      <w:r>
        <w:rPr>
          <w:rFonts w:ascii="Times New Roman" w:hAnsi="Times New Roman" w:cs="Times New Roman"/>
        </w:rPr>
        <w:t xml:space="preserve">(iii) </w:t>
      </w:r>
      <w:r w:rsidRPr="00316005">
        <w:rPr>
          <w:rFonts w:ascii="Times New Roman" w:hAnsi="Times New Roman" w:cs="Times New Roman"/>
        </w:rPr>
        <w:t>It has been shown that DCV plays a central role for these mechanisms, and a joint discussion on advancements in this field of research are important to improve our estimates, understanding and prediction capabilities.</w:t>
      </w:r>
    </w:p>
    <w:p w:rsidR="004869CF" w:rsidRPr="00316005" w:rsidRDefault="004869CF" w:rsidP="004869CF">
      <w:pPr>
        <w:pStyle w:val="ListParagraph"/>
        <w:numPr>
          <w:ilvl w:val="1"/>
          <w:numId w:val="3"/>
        </w:numPr>
        <w:spacing w:after="120"/>
        <w:contextualSpacing w:val="0"/>
        <w:jc w:val="both"/>
        <w:rPr>
          <w:rFonts w:ascii="Times New Roman" w:hAnsi="Times New Roman" w:cs="Times New Roman"/>
        </w:rPr>
      </w:pPr>
      <w:r w:rsidRPr="00316005">
        <w:rPr>
          <w:rFonts w:ascii="Times New Roman" w:hAnsi="Times New Roman" w:cs="Times New Roman"/>
        </w:rPr>
        <w:t>What is the respective role of the DCV modes on global EEI/OHC changes, and related regional energy budgets?   What are the implications for decadal prediction?</w:t>
      </w:r>
      <w:r>
        <w:rPr>
          <w:rFonts w:ascii="Times New Roman" w:hAnsi="Times New Roman" w:cs="Times New Roman"/>
        </w:rPr>
        <w:t xml:space="preserve">  Is there a way to promote these kinds of studies?</w:t>
      </w:r>
    </w:p>
    <w:p w:rsidR="004869CF" w:rsidRPr="00316005" w:rsidDel="00E97DAC" w:rsidRDefault="004869CF" w:rsidP="004869CF">
      <w:pPr>
        <w:pStyle w:val="ListParagraph"/>
        <w:numPr>
          <w:ilvl w:val="1"/>
          <w:numId w:val="3"/>
        </w:numPr>
        <w:spacing w:after="120"/>
        <w:contextualSpacing w:val="0"/>
        <w:jc w:val="both"/>
        <w:rPr>
          <w:rFonts w:ascii="Times New Roman" w:hAnsi="Times New Roman" w:cs="Times New Roman"/>
        </w:rPr>
      </w:pPr>
      <w:r>
        <w:rPr>
          <w:rFonts w:ascii="Times New Roman" w:hAnsi="Times New Roman" w:cs="Times New Roman"/>
        </w:rPr>
        <w:t>Can we promote studies on the impact of DCV on heat transport?</w:t>
      </w:r>
      <w:r w:rsidRPr="00316005">
        <w:rPr>
          <w:rFonts w:ascii="Times New Roman" w:hAnsi="Times New Roman" w:cs="Times New Roman"/>
        </w:rPr>
        <w:t xml:space="preserve"> The evaluation of ocean heat transports </w:t>
      </w:r>
      <w:r>
        <w:rPr>
          <w:rFonts w:ascii="Times New Roman" w:hAnsi="Times New Roman" w:cs="Times New Roman"/>
        </w:rPr>
        <w:t>was</w:t>
      </w:r>
      <w:r w:rsidRPr="00316005">
        <w:rPr>
          <w:rFonts w:ascii="Times New Roman" w:hAnsi="Times New Roman" w:cs="Times New Roman"/>
        </w:rPr>
        <w:t xml:space="preserve"> identified as one of the key priorities for CONCEPT-HEAT during the last workshop. Improved knowledge on the impact of DCV and joint discussion with DCVP can further unravel observed changes, and improve our understanding of uncertainties.</w:t>
      </w:r>
    </w:p>
    <w:p w:rsidR="004869CF" w:rsidRPr="00316005" w:rsidRDefault="004869CF" w:rsidP="004869CF">
      <w:pPr>
        <w:pStyle w:val="ListParagraph"/>
        <w:numPr>
          <w:ilvl w:val="1"/>
          <w:numId w:val="3"/>
        </w:numPr>
        <w:spacing w:after="120"/>
        <w:contextualSpacing w:val="0"/>
        <w:jc w:val="both"/>
        <w:rPr>
          <w:rFonts w:ascii="Times New Roman" w:hAnsi="Times New Roman" w:cs="Times New Roman"/>
        </w:rPr>
      </w:pPr>
      <w:r>
        <w:rPr>
          <w:rFonts w:ascii="Times New Roman" w:hAnsi="Times New Roman" w:cs="Times New Roman"/>
        </w:rPr>
        <w:t>How can we promote e</w:t>
      </w:r>
      <w:r w:rsidRPr="00316005">
        <w:rPr>
          <w:rFonts w:ascii="Times New Roman" w:hAnsi="Times New Roman" w:cs="Times New Roman"/>
        </w:rPr>
        <w:t>valuation of DCV imprint on regional sea level patterns (steric, mass)</w:t>
      </w:r>
      <w:r>
        <w:rPr>
          <w:rFonts w:ascii="Times New Roman" w:hAnsi="Times New Roman" w:cs="Times New Roman"/>
        </w:rPr>
        <w:t>?</w:t>
      </w:r>
    </w:p>
    <w:p w:rsidR="004869CF" w:rsidRPr="00316005" w:rsidRDefault="004869CF" w:rsidP="004869CF">
      <w:pPr>
        <w:pStyle w:val="ListParagraph"/>
        <w:numPr>
          <w:ilvl w:val="1"/>
          <w:numId w:val="3"/>
        </w:numPr>
        <w:spacing w:after="120"/>
        <w:contextualSpacing w:val="0"/>
        <w:jc w:val="both"/>
        <w:rPr>
          <w:rFonts w:ascii="Times New Roman" w:hAnsi="Times New Roman" w:cs="Times New Roman"/>
        </w:rPr>
      </w:pPr>
      <w:r>
        <w:rPr>
          <w:rFonts w:ascii="Times New Roman" w:hAnsi="Times New Roman" w:cs="Times New Roman"/>
        </w:rPr>
        <w:t>How can we</w:t>
      </w:r>
      <w:r w:rsidRPr="00316005">
        <w:rPr>
          <w:rFonts w:ascii="Times New Roman" w:hAnsi="Times New Roman" w:cs="Times New Roman"/>
        </w:rPr>
        <w:t xml:space="preserve"> encourage analysis and diagnostics of decadal variability in terms of regional energy balance and the distribution of heat in the vertical in the ocean, how it gets moved around and </w:t>
      </w:r>
      <w:r>
        <w:rPr>
          <w:rFonts w:ascii="Times New Roman" w:hAnsi="Times New Roman" w:cs="Times New Roman"/>
        </w:rPr>
        <w:t>implications for predictability?</w:t>
      </w:r>
      <w:r w:rsidRPr="00316005">
        <w:rPr>
          <w:rFonts w:ascii="Times New Roman" w:hAnsi="Times New Roman" w:cs="Times New Roman"/>
        </w:rPr>
        <w:t xml:space="preserve">  </w:t>
      </w:r>
    </w:p>
    <w:p w:rsidR="004869CF" w:rsidRPr="00316005" w:rsidRDefault="004869CF" w:rsidP="004869CF">
      <w:pPr>
        <w:spacing w:after="120"/>
        <w:jc w:val="both"/>
        <w:rPr>
          <w:rFonts w:ascii="Times New Roman" w:hAnsi="Times New Roman" w:cs="Times New Roman"/>
        </w:rPr>
      </w:pPr>
    </w:p>
    <w:p w:rsidR="004869CF" w:rsidRPr="00316005" w:rsidRDefault="004869CF" w:rsidP="004869CF">
      <w:pPr>
        <w:pStyle w:val="ListParagraph"/>
        <w:numPr>
          <w:ilvl w:val="0"/>
          <w:numId w:val="2"/>
        </w:numPr>
        <w:spacing w:after="120"/>
        <w:jc w:val="both"/>
        <w:rPr>
          <w:rFonts w:ascii="Times New Roman" w:hAnsi="Times New Roman" w:cs="Times New Roman"/>
        </w:rPr>
      </w:pPr>
      <w:r w:rsidRPr="00316005">
        <w:rPr>
          <w:rFonts w:ascii="Times New Roman" w:hAnsi="Times New Roman" w:cs="Times New Roman"/>
          <w:b/>
          <w:color w:val="2E74B5" w:themeColor="accent1" w:themeShade="BF"/>
        </w:rPr>
        <w:t xml:space="preserve">The Earth Energy Imbalance (EEI) and Ocean Heat Content (OHC) </w:t>
      </w:r>
      <w:r>
        <w:rPr>
          <w:rFonts w:ascii="Times New Roman" w:hAnsi="Times New Roman" w:cs="Times New Roman"/>
          <w:b/>
          <w:color w:val="2E74B5" w:themeColor="accent1" w:themeShade="BF"/>
        </w:rPr>
        <w:t>should be</w:t>
      </w:r>
      <w:r w:rsidRPr="00316005">
        <w:rPr>
          <w:rFonts w:ascii="Times New Roman" w:hAnsi="Times New Roman" w:cs="Times New Roman"/>
          <w:b/>
          <w:color w:val="2E74B5" w:themeColor="accent1" w:themeShade="BF"/>
        </w:rPr>
        <w:t xml:space="preserve"> priority metrics for climate model diagnostics in the context of CMIP6 activities</w:t>
      </w:r>
      <w:r>
        <w:rPr>
          <w:rFonts w:ascii="Times New Roman" w:hAnsi="Times New Roman" w:cs="Times New Roman"/>
          <w:b/>
          <w:color w:val="2E74B5" w:themeColor="accent1" w:themeShade="BF"/>
        </w:rPr>
        <w:t>.</w:t>
      </w:r>
      <w:r w:rsidRPr="00316005">
        <w:rPr>
          <w:rFonts w:ascii="Times New Roman" w:hAnsi="Times New Roman" w:cs="Times New Roman"/>
          <w:color w:val="2E74B5" w:themeColor="accent1" w:themeShade="BF"/>
        </w:rPr>
        <w:t xml:space="preserve"> </w:t>
      </w:r>
      <w:r w:rsidRPr="00316005">
        <w:rPr>
          <w:rFonts w:ascii="Times New Roman" w:hAnsi="Times New Roman" w:cs="Times New Roman"/>
        </w:rPr>
        <w:t>The current EEI is mostly caused by human activity, and is driving global warming. The absolute value of EEI represents the most fundamental metric defining the status of global climate change, and will be</w:t>
      </w:r>
      <w:r>
        <w:rPr>
          <w:rFonts w:ascii="Times New Roman" w:hAnsi="Times New Roman" w:cs="Times New Roman"/>
        </w:rPr>
        <w:t>come</w:t>
      </w:r>
      <w:r w:rsidRPr="00316005">
        <w:rPr>
          <w:rFonts w:ascii="Times New Roman" w:hAnsi="Times New Roman" w:cs="Times New Roman"/>
        </w:rPr>
        <w:t xml:space="preserve"> more useful than using global surface temperature.</w:t>
      </w:r>
      <w:r>
        <w:rPr>
          <w:rFonts w:ascii="Times New Roman" w:hAnsi="Times New Roman" w:cs="Times New Roman"/>
        </w:rPr>
        <w:t xml:space="preserve">  The net surface energy flux in models should match EEI globally but the surface fluxes could be a valuable diagnostic.  </w:t>
      </w:r>
      <w:r w:rsidRPr="00316005">
        <w:rPr>
          <w:rFonts w:ascii="Times New Roman" w:hAnsi="Times New Roman" w:cs="Times New Roman"/>
        </w:rPr>
        <w:t xml:space="preserve"> The aim of the discussion could be to discuss about best uses and best practices of the CMIP6 climate model simulations to better understand EEI, OHC change and DCV. </w:t>
      </w:r>
      <w:r>
        <w:rPr>
          <w:rFonts w:ascii="Times New Roman" w:hAnsi="Times New Roman" w:cs="Times New Roman"/>
        </w:rPr>
        <w:t xml:space="preserve">It takes only one paper to produce the right kind of diagnostics to set an example. </w:t>
      </w:r>
      <w:r w:rsidRPr="00316005">
        <w:rPr>
          <w:rFonts w:ascii="Times New Roman" w:hAnsi="Times New Roman" w:cs="Times New Roman"/>
        </w:rPr>
        <w:t xml:space="preserve">The principal objective here could be to develop a joint recommendation to the CMIP community, and our joint discussion here could aim to implement this activity (e.g. guidelines for specific diagnostics such as on-the-fly computation of OHC at different levels etc.). </w:t>
      </w:r>
    </w:p>
    <w:p w:rsidR="004869CF" w:rsidRPr="00316005" w:rsidRDefault="004869CF" w:rsidP="004869CF">
      <w:pPr>
        <w:spacing w:after="120"/>
        <w:jc w:val="both"/>
        <w:rPr>
          <w:rFonts w:ascii="Times New Roman" w:hAnsi="Times New Roman" w:cs="Times New Roman"/>
          <w:b/>
          <w:color w:val="2E74B5" w:themeColor="accent1" w:themeShade="BF"/>
        </w:rPr>
      </w:pPr>
      <w:r w:rsidRPr="00316005">
        <w:rPr>
          <w:rFonts w:ascii="Times New Roman" w:hAnsi="Times New Roman" w:cs="Times New Roman"/>
          <w:b/>
          <w:color w:val="2E74B5" w:themeColor="accent1" w:themeShade="BF"/>
        </w:rPr>
        <w:t>Agenda:</w:t>
      </w:r>
    </w:p>
    <w:p w:rsidR="004869CF" w:rsidRPr="00316005" w:rsidRDefault="004869CF" w:rsidP="004869CF">
      <w:pPr>
        <w:pStyle w:val="ListParagraph"/>
        <w:numPr>
          <w:ilvl w:val="0"/>
          <w:numId w:val="6"/>
        </w:numPr>
        <w:spacing w:after="120"/>
        <w:jc w:val="both"/>
        <w:rPr>
          <w:rFonts w:ascii="Times New Roman" w:hAnsi="Times New Roman" w:cs="Times New Roman"/>
        </w:rPr>
      </w:pPr>
      <w:r w:rsidRPr="00316005">
        <w:rPr>
          <w:rFonts w:ascii="Times New Roman" w:hAnsi="Times New Roman" w:cs="Times New Roman"/>
        </w:rPr>
        <w:t>Opening comments from Cassou, Kushnir</w:t>
      </w:r>
    </w:p>
    <w:p w:rsidR="004869CF" w:rsidRPr="00316005" w:rsidRDefault="004869CF" w:rsidP="004869CF">
      <w:pPr>
        <w:pStyle w:val="ListParagraph"/>
        <w:numPr>
          <w:ilvl w:val="0"/>
          <w:numId w:val="6"/>
        </w:numPr>
        <w:spacing w:after="120"/>
        <w:jc w:val="both"/>
        <w:rPr>
          <w:rFonts w:ascii="Times New Roman" w:hAnsi="Times New Roman" w:cs="Times New Roman"/>
        </w:rPr>
      </w:pPr>
      <w:r w:rsidRPr="00316005">
        <w:rPr>
          <w:rFonts w:ascii="Times New Roman" w:hAnsi="Times New Roman" w:cs="Times New Roman"/>
        </w:rPr>
        <w:t>Opening comments from von Schuckmann, Trenberth</w:t>
      </w:r>
    </w:p>
    <w:p w:rsidR="004869CF" w:rsidRPr="00316005" w:rsidRDefault="004869CF" w:rsidP="004869CF">
      <w:pPr>
        <w:pStyle w:val="ListParagraph"/>
        <w:numPr>
          <w:ilvl w:val="0"/>
          <w:numId w:val="6"/>
        </w:numPr>
        <w:spacing w:after="120"/>
        <w:jc w:val="both"/>
        <w:rPr>
          <w:rFonts w:ascii="Times New Roman" w:hAnsi="Times New Roman" w:cs="Times New Roman"/>
        </w:rPr>
      </w:pPr>
      <w:r w:rsidRPr="00316005">
        <w:rPr>
          <w:rFonts w:ascii="Times New Roman" w:hAnsi="Times New Roman" w:cs="Times New Roman"/>
        </w:rPr>
        <w:t>Short presentations (TBD)?  (Based on earlier meetings and what each project is doing)</w:t>
      </w:r>
    </w:p>
    <w:p w:rsidR="00EE1711" w:rsidRPr="00515E7D" w:rsidRDefault="004869CF" w:rsidP="00515E7D">
      <w:pPr>
        <w:pStyle w:val="ListParagraph"/>
        <w:numPr>
          <w:ilvl w:val="0"/>
          <w:numId w:val="6"/>
        </w:numPr>
        <w:spacing w:after="120"/>
        <w:jc w:val="both"/>
        <w:rPr>
          <w:rFonts w:ascii="Times New Roman" w:hAnsi="Times New Roman" w:cs="Times New Roman"/>
        </w:rPr>
      </w:pPr>
      <w:r w:rsidRPr="00316005">
        <w:rPr>
          <w:rFonts w:ascii="Times New Roman" w:hAnsi="Times New Roman" w:cs="Times New Roman"/>
        </w:rPr>
        <w:t>Ope</w:t>
      </w:r>
      <w:r>
        <w:rPr>
          <w:rFonts w:ascii="Times New Roman" w:hAnsi="Times New Roman" w:cs="Times New Roman"/>
        </w:rPr>
        <w:t xml:space="preserve">n discussion led by 4 co-chairs </w:t>
      </w:r>
      <w:r w:rsidRPr="00316005">
        <w:rPr>
          <w:rFonts w:ascii="Times New Roman" w:hAnsi="Times New Roman" w:cs="Times New Roman"/>
        </w:rPr>
        <w:t>of points above</w:t>
      </w:r>
      <w:bookmarkStart w:id="0" w:name="_GoBack"/>
      <w:bookmarkEnd w:id="0"/>
    </w:p>
    <w:sectPr w:rsidR="00EE1711" w:rsidRPr="00515E7D" w:rsidSect="00F22624">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Light">
    <w:altName w:val="Cambria"/>
    <w:charset w:val="00"/>
    <w:family w:val="auto"/>
    <w:pitch w:val="variable"/>
    <w:sig w:usb0="A00002EF" w:usb1="4000207B" w:usb2="00000000" w:usb3="00000000" w:csb0="0000009F" w:csb1="00000000"/>
  </w:font>
  <w:font w:name="ＭＳ 明朝">
    <w:charset w:val="4E"/>
    <w:family w:val="auto"/>
    <w:pitch w:val="variable"/>
    <w:sig w:usb0="00000001" w:usb1="00000000" w:usb2="01000407" w:usb3="00000000" w:csb0="00020000"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11CA8"/>
    <w:multiLevelType w:val="hybridMultilevel"/>
    <w:tmpl w:val="3340A9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2796F68"/>
    <w:multiLevelType w:val="hybridMultilevel"/>
    <w:tmpl w:val="E1146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4E1949"/>
    <w:multiLevelType w:val="hybridMultilevel"/>
    <w:tmpl w:val="54E412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1F3937"/>
    <w:multiLevelType w:val="hybridMultilevel"/>
    <w:tmpl w:val="644E8DD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0724C49"/>
    <w:multiLevelType w:val="hybridMultilevel"/>
    <w:tmpl w:val="9328E50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105229B"/>
    <w:multiLevelType w:val="hybridMultilevel"/>
    <w:tmpl w:val="0F06B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doNotTrackMoves/>
  <w:defaultTabStop w:val="720"/>
  <w:characterSpacingControl w:val="doNotCompress"/>
  <w:savePreviewPicture/>
  <w:compat/>
  <w:rsids>
    <w:rsidRoot w:val="00EE1711"/>
    <w:rsid w:val="00015DB1"/>
    <w:rsid w:val="000853D5"/>
    <w:rsid w:val="000B5018"/>
    <w:rsid w:val="001575A0"/>
    <w:rsid w:val="00184C0F"/>
    <w:rsid w:val="001C60A5"/>
    <w:rsid w:val="002002F2"/>
    <w:rsid w:val="002121ED"/>
    <w:rsid w:val="002C3678"/>
    <w:rsid w:val="00302548"/>
    <w:rsid w:val="003341FB"/>
    <w:rsid w:val="003550E7"/>
    <w:rsid w:val="003858A5"/>
    <w:rsid w:val="0039386C"/>
    <w:rsid w:val="003E0F88"/>
    <w:rsid w:val="00417773"/>
    <w:rsid w:val="00442B5A"/>
    <w:rsid w:val="004869CF"/>
    <w:rsid w:val="004A37D4"/>
    <w:rsid w:val="004B3D04"/>
    <w:rsid w:val="004C1314"/>
    <w:rsid w:val="004F5B84"/>
    <w:rsid w:val="004F6FA1"/>
    <w:rsid w:val="00515E7D"/>
    <w:rsid w:val="0054136C"/>
    <w:rsid w:val="005B24E6"/>
    <w:rsid w:val="006154B4"/>
    <w:rsid w:val="006E11E5"/>
    <w:rsid w:val="006F3AED"/>
    <w:rsid w:val="0071048C"/>
    <w:rsid w:val="00782577"/>
    <w:rsid w:val="007D099F"/>
    <w:rsid w:val="007D3D2B"/>
    <w:rsid w:val="007E1828"/>
    <w:rsid w:val="00825378"/>
    <w:rsid w:val="008726E1"/>
    <w:rsid w:val="00906321"/>
    <w:rsid w:val="00931C43"/>
    <w:rsid w:val="00976D50"/>
    <w:rsid w:val="00A140AB"/>
    <w:rsid w:val="00A24D95"/>
    <w:rsid w:val="00A278A3"/>
    <w:rsid w:val="00AA41CC"/>
    <w:rsid w:val="00AB4022"/>
    <w:rsid w:val="00B5148E"/>
    <w:rsid w:val="00B72457"/>
    <w:rsid w:val="00C35DCF"/>
    <w:rsid w:val="00CD7AC5"/>
    <w:rsid w:val="00CE5457"/>
    <w:rsid w:val="00D35EDA"/>
    <w:rsid w:val="00D45F76"/>
    <w:rsid w:val="00D56322"/>
    <w:rsid w:val="00E22A54"/>
    <w:rsid w:val="00EA7593"/>
    <w:rsid w:val="00EB3514"/>
    <w:rsid w:val="00EE1711"/>
    <w:rsid w:val="00EF451C"/>
    <w:rsid w:val="00F125D2"/>
    <w:rsid w:val="00F22624"/>
    <w:rsid w:val="00F70607"/>
  </w:rsids>
  <m:mathPr>
    <m:mathFont m:val="Georgia"/>
    <m:brkBin m:val="before"/>
    <m:brkBinSub m:val="--"/>
    <m:smallFrac/>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8A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5B24E6"/>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924</Words>
  <Characters>5272</Characters>
  <Application>Microsoft Macintosh Word</Application>
  <DocSecurity>0</DocSecurity>
  <Lines>43</Lines>
  <Paragraphs>10</Paragraphs>
  <ScaleCrop>false</ScaleCrop>
  <HeadingPairs>
    <vt:vector size="2" baseType="variant">
      <vt:variant>
        <vt:lpstr>Title</vt:lpstr>
      </vt:variant>
      <vt:variant>
        <vt:i4>1</vt:i4>
      </vt:variant>
    </vt:vector>
  </HeadingPairs>
  <TitlesOfParts>
    <vt:vector size="1" baseType="lpstr">
      <vt:lpstr/>
    </vt:vector>
  </TitlesOfParts>
  <Company>Lamont-Doherty Earth Observatory</Company>
  <LinksUpToDate>false</LinksUpToDate>
  <CharactersWithSpaces>6474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Yochanan Kushnir</dc:creator>
  <cp:keywords/>
  <dc:description/>
  <cp:lastModifiedBy>Nico Caltabiano</cp:lastModifiedBy>
  <cp:revision>2</cp:revision>
  <cp:lastPrinted>2016-09-06T20:56:00Z</cp:lastPrinted>
  <dcterms:created xsi:type="dcterms:W3CDTF">2016-09-17T03:02:00Z</dcterms:created>
  <dcterms:modified xsi:type="dcterms:W3CDTF">2016-09-17T03:02:00Z</dcterms:modified>
</cp:coreProperties>
</file>