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110"/>
        <w:gridCol w:w="1926"/>
        <w:gridCol w:w="1928"/>
        <w:gridCol w:w="2279"/>
      </w:tblGrid>
      <w:tr w:rsidR="00991872" w:rsidRPr="001C05ED" w14:paraId="6DA65725" w14:textId="77777777" w:rsidTr="00991872">
        <w:trPr>
          <w:trHeight w:val="2126"/>
        </w:trPr>
        <w:tc>
          <w:tcPr>
            <w:tcW w:w="1401" w:type="dxa"/>
          </w:tcPr>
          <w:p w14:paraId="6CABE7B3" w14:textId="6BD39D34" w:rsidR="00BB4D5C" w:rsidRPr="001C05ED" w:rsidRDefault="00BB4D5C" w:rsidP="00967129">
            <w:pPr>
              <w:spacing w:after="0" w:line="240" w:lineRule="auto"/>
              <w:jc w:val="center"/>
              <w:rPr>
                <w:rFonts w:asciiTheme="minorHAnsi" w:hAnsiTheme="minorHAnsi" w:cstheme="minorHAnsi"/>
                <w:b/>
                <w:color w:val="000000"/>
                <w:sz w:val="24"/>
                <w:szCs w:val="24"/>
              </w:rPr>
            </w:pPr>
            <w:r w:rsidRPr="001C05ED">
              <w:rPr>
                <w:rFonts w:asciiTheme="minorHAnsi" w:hAnsiTheme="minorHAnsi" w:cstheme="minorHAnsi"/>
                <w:b/>
                <w:noProof/>
                <w:color w:val="000000"/>
                <w:sz w:val="24"/>
                <w:szCs w:val="24"/>
                <w:lang w:val="en-US"/>
              </w:rPr>
              <w:drawing>
                <wp:inline distT="0" distB="0" distL="0" distR="0" wp14:anchorId="3042D3CC" wp14:editId="48134FD9">
                  <wp:extent cx="885825" cy="1284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8">
                            <a:extLst>
                              <a:ext uri="{28A0092B-C50C-407E-A947-70E740481C1C}">
                                <a14:useLocalDpi xmlns:a14="http://schemas.microsoft.com/office/drawing/2010/main" val="0"/>
                              </a:ext>
                            </a:extLst>
                          </a:blip>
                          <a:stretch>
                            <a:fillRect/>
                          </a:stretch>
                        </pic:blipFill>
                        <pic:spPr>
                          <a:xfrm>
                            <a:off x="0" y="0"/>
                            <a:ext cx="899587" cy="1304399"/>
                          </a:xfrm>
                          <a:prstGeom prst="rect">
                            <a:avLst/>
                          </a:prstGeom>
                        </pic:spPr>
                      </pic:pic>
                    </a:graphicData>
                  </a:graphic>
                </wp:inline>
              </w:drawing>
            </w:r>
          </w:p>
        </w:tc>
        <w:tc>
          <w:tcPr>
            <w:tcW w:w="1828" w:type="dxa"/>
          </w:tcPr>
          <w:p w14:paraId="513E523B" w14:textId="77777777" w:rsidR="00BB4D5C" w:rsidRPr="001C05ED" w:rsidRDefault="00BB4D5C" w:rsidP="00967129">
            <w:pPr>
              <w:spacing w:after="0" w:line="240" w:lineRule="auto"/>
              <w:jc w:val="center"/>
              <w:rPr>
                <w:rFonts w:asciiTheme="minorHAnsi" w:hAnsiTheme="minorHAnsi" w:cstheme="minorHAnsi"/>
                <w:b/>
                <w:color w:val="000000"/>
                <w:sz w:val="24"/>
                <w:szCs w:val="24"/>
              </w:rPr>
            </w:pPr>
          </w:p>
          <w:p w14:paraId="3969D40E" w14:textId="77777777" w:rsidR="00BB4D5C" w:rsidRDefault="00BB4D5C" w:rsidP="00967129">
            <w:pPr>
              <w:spacing w:after="0" w:line="240" w:lineRule="auto"/>
              <w:jc w:val="center"/>
              <w:rPr>
                <w:rFonts w:asciiTheme="minorHAnsi" w:hAnsiTheme="minorHAnsi" w:cstheme="minorHAnsi"/>
                <w:b/>
                <w:color w:val="000000"/>
                <w:sz w:val="24"/>
                <w:szCs w:val="24"/>
              </w:rPr>
            </w:pPr>
          </w:p>
          <w:p w14:paraId="19E4AFC5" w14:textId="7323A47A" w:rsidR="00BB4D5C" w:rsidRPr="001C05ED" w:rsidRDefault="00BB4D5C" w:rsidP="00967129">
            <w:pPr>
              <w:spacing w:after="0" w:line="240" w:lineRule="auto"/>
              <w:jc w:val="center"/>
              <w:rPr>
                <w:rFonts w:asciiTheme="minorHAnsi" w:hAnsiTheme="minorHAnsi" w:cstheme="minorHAnsi"/>
                <w:b/>
                <w:color w:val="000000"/>
                <w:sz w:val="24"/>
                <w:szCs w:val="24"/>
              </w:rPr>
            </w:pPr>
            <w:r w:rsidRPr="001C05ED">
              <w:rPr>
                <w:rFonts w:asciiTheme="minorHAnsi" w:hAnsiTheme="minorHAnsi" w:cstheme="minorHAnsi"/>
                <w:b/>
                <w:noProof/>
                <w:color w:val="000000"/>
                <w:sz w:val="24"/>
                <w:szCs w:val="24"/>
                <w:lang w:val="en-US"/>
              </w:rPr>
              <w:drawing>
                <wp:inline distT="0" distB="0" distL="0" distR="0" wp14:anchorId="1F9A2D06" wp14:editId="653C23F8">
                  <wp:extent cx="1202690" cy="424222"/>
                  <wp:effectExtent l="0" t="0" r="0" b="0"/>
                  <wp:docPr id="4" name="Picture 4" descr="C:\Users\RKolli\AppData\Local\Microsoft\Windows\INetCache\Content.MSO\20C7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olli\AppData\Local\Microsoft\Windows\INetCache\Content.MSO\20C78B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979" cy="447251"/>
                          </a:xfrm>
                          <a:prstGeom prst="rect">
                            <a:avLst/>
                          </a:prstGeom>
                          <a:noFill/>
                          <a:ln>
                            <a:noFill/>
                          </a:ln>
                        </pic:spPr>
                      </pic:pic>
                    </a:graphicData>
                  </a:graphic>
                </wp:inline>
              </w:drawing>
            </w:r>
            <w:r w:rsidRPr="001C05ED">
              <w:rPr>
                <w:rFonts w:asciiTheme="minorHAnsi" w:hAnsiTheme="minorHAnsi" w:cstheme="minorHAnsi"/>
                <w:b/>
                <w:noProof/>
                <w:color w:val="000000"/>
                <w:sz w:val="24"/>
                <w:szCs w:val="24"/>
                <w:lang w:val="en-US"/>
              </w:rPr>
              <w:drawing>
                <wp:anchor distT="0" distB="0" distL="114300" distR="114300" simplePos="0" relativeHeight="251662336" behindDoc="0" locked="0" layoutInCell="1" allowOverlap="1" wp14:anchorId="1A77F809" wp14:editId="764C79D0">
                  <wp:simplePos x="0" y="0"/>
                  <wp:positionH relativeFrom="margin">
                    <wp:align>left</wp:align>
                  </wp:positionH>
                  <wp:positionV relativeFrom="page">
                    <wp:posOffset>180340</wp:posOffset>
                  </wp:positionV>
                  <wp:extent cx="1202690" cy="513715"/>
                  <wp:effectExtent l="0" t="0" r="0" b="635"/>
                  <wp:wrapSquare wrapText="bothSides"/>
                  <wp:docPr id="3" name="Picture 3"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word/media/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2690"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671" w:type="dxa"/>
          </w:tcPr>
          <w:p w14:paraId="7537E836" w14:textId="1C33F5D8" w:rsidR="00BB4D5C" w:rsidRPr="001C05ED" w:rsidRDefault="00BB4D5C" w:rsidP="00991872">
            <w:pPr>
              <w:spacing w:after="0" w:line="240" w:lineRule="auto"/>
              <w:rPr>
                <w:rFonts w:asciiTheme="minorHAnsi" w:hAnsiTheme="minorHAnsi" w:cstheme="minorHAnsi"/>
                <w:b/>
                <w:color w:val="000000"/>
                <w:sz w:val="24"/>
                <w:szCs w:val="24"/>
              </w:rPr>
            </w:pPr>
            <w:r w:rsidRPr="001C05ED">
              <w:rPr>
                <w:rFonts w:asciiTheme="minorHAnsi" w:hAnsiTheme="minorHAnsi" w:cstheme="minorHAnsi"/>
                <w:b/>
                <w:noProof/>
                <w:color w:val="000000"/>
                <w:sz w:val="24"/>
                <w:szCs w:val="24"/>
                <w:lang w:val="en-US"/>
              </w:rPr>
              <w:drawing>
                <wp:anchor distT="0" distB="0" distL="114300" distR="114300" simplePos="0" relativeHeight="251663360" behindDoc="0" locked="0" layoutInCell="1" allowOverlap="1" wp14:anchorId="3E994EFC" wp14:editId="615BB753">
                  <wp:simplePos x="0" y="0"/>
                  <wp:positionH relativeFrom="page">
                    <wp:posOffset>177165</wp:posOffset>
                  </wp:positionH>
                  <wp:positionV relativeFrom="page">
                    <wp:posOffset>273050</wp:posOffset>
                  </wp:positionV>
                  <wp:extent cx="904875" cy="561975"/>
                  <wp:effectExtent l="0" t="0" r="9525" b="9525"/>
                  <wp:wrapSquare wrapText="bothSides"/>
                  <wp:docPr id="5" name="Picture 5"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_0" descr="ooxWord://word/media/image1.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6145" t="9443" r="8423" b="10971"/>
                          <a:stretch/>
                        </pic:blipFill>
                        <pic:spPr bwMode="auto">
                          <a:xfrm>
                            <a:off x="0" y="0"/>
                            <a:ext cx="904875" cy="5619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5ED">
              <w:rPr>
                <w:rFonts w:asciiTheme="minorHAnsi" w:hAnsiTheme="minorHAnsi" w:cstheme="minorHAnsi"/>
                <w:b/>
                <w:noProof/>
                <w:color w:val="000000"/>
                <w:sz w:val="24"/>
                <w:szCs w:val="24"/>
                <w:lang w:val="en-US"/>
              </w:rPr>
              <w:drawing>
                <wp:anchor distT="0" distB="0" distL="114300" distR="114300" simplePos="0" relativeHeight="251664384" behindDoc="0" locked="0" layoutInCell="1" allowOverlap="1" wp14:anchorId="3815FD0B" wp14:editId="1722A8E7">
                  <wp:simplePos x="0" y="0"/>
                  <wp:positionH relativeFrom="margin">
                    <wp:posOffset>68580</wp:posOffset>
                  </wp:positionH>
                  <wp:positionV relativeFrom="page">
                    <wp:posOffset>965835</wp:posOffset>
                  </wp:positionV>
                  <wp:extent cx="1076325" cy="244475"/>
                  <wp:effectExtent l="0" t="0" r="9525" b="3175"/>
                  <wp:wrapSquare wrapText="bothSides"/>
                  <wp:docPr id="6" name="Picture 6" descr="http://www.gewex.org/gewex-content/themes/gewex/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wex.org/gewex-content/themes/gewex/image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244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28" w:type="dxa"/>
          </w:tcPr>
          <w:p w14:paraId="7CD4630A" w14:textId="7E26E6B8" w:rsidR="00BB4D5C" w:rsidRPr="001C05ED" w:rsidRDefault="00BB4D5C" w:rsidP="00967129">
            <w:pPr>
              <w:spacing w:after="0" w:line="240" w:lineRule="auto"/>
              <w:jc w:val="center"/>
              <w:rPr>
                <w:rFonts w:asciiTheme="minorHAnsi" w:hAnsiTheme="minorHAnsi" w:cstheme="minorHAnsi"/>
                <w:b/>
                <w:color w:val="000000"/>
                <w:sz w:val="24"/>
                <w:szCs w:val="24"/>
              </w:rPr>
            </w:pPr>
            <w:r>
              <w:rPr>
                <w:noProof/>
                <w:lang w:val="en-US"/>
              </w:rPr>
              <w:drawing>
                <wp:inline distT="0" distB="0" distL="0" distR="0" wp14:anchorId="356E295D" wp14:editId="69B4885A">
                  <wp:extent cx="1080000" cy="1104324"/>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0000" cy="1104324"/>
                          </a:xfrm>
                          <a:prstGeom prst="rect">
                            <a:avLst/>
                          </a:prstGeom>
                        </pic:spPr>
                      </pic:pic>
                    </a:graphicData>
                  </a:graphic>
                </wp:inline>
              </w:drawing>
            </w:r>
          </w:p>
        </w:tc>
        <w:tc>
          <w:tcPr>
            <w:tcW w:w="2416" w:type="dxa"/>
          </w:tcPr>
          <w:p w14:paraId="40D95BDF" w14:textId="7B6B2838" w:rsidR="00BB4D5C" w:rsidRPr="001C05ED" w:rsidRDefault="00991872" w:rsidP="00967129">
            <w:pPr>
              <w:spacing w:after="0" w:line="240" w:lineRule="auto"/>
              <w:jc w:val="center"/>
              <w:rPr>
                <w:rFonts w:asciiTheme="minorHAnsi" w:hAnsiTheme="minorHAnsi" w:cstheme="minorHAnsi"/>
                <w:b/>
                <w:color w:val="000000"/>
                <w:sz w:val="24"/>
                <w:szCs w:val="24"/>
              </w:rPr>
            </w:pPr>
            <w:r>
              <w:rPr>
                <w:noProof/>
                <w:lang w:val="en-US"/>
              </w:rPr>
              <w:drawing>
                <wp:inline distT="0" distB="0" distL="0" distR="0" wp14:anchorId="58F2EFFE" wp14:editId="7984CCEF">
                  <wp:extent cx="972000" cy="113684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2000" cy="1136842"/>
                          </a:xfrm>
                          <a:prstGeom prst="rect">
                            <a:avLst/>
                          </a:prstGeom>
                        </pic:spPr>
                      </pic:pic>
                    </a:graphicData>
                  </a:graphic>
                </wp:inline>
              </w:drawing>
            </w:r>
          </w:p>
        </w:tc>
      </w:tr>
    </w:tbl>
    <w:p w14:paraId="3DA1B4F8" w14:textId="77777777" w:rsidR="00930C79" w:rsidRDefault="00930C79" w:rsidP="00967129">
      <w:pPr>
        <w:spacing w:after="0" w:line="240" w:lineRule="auto"/>
        <w:jc w:val="center"/>
        <w:rPr>
          <w:rFonts w:asciiTheme="minorHAnsi" w:hAnsiTheme="minorHAnsi" w:cstheme="minorHAnsi"/>
          <w:b/>
          <w:color w:val="000000"/>
          <w:sz w:val="40"/>
          <w:szCs w:val="44"/>
        </w:rPr>
      </w:pPr>
    </w:p>
    <w:p w14:paraId="179C90C4" w14:textId="2D7D5E91" w:rsidR="00CE1B23" w:rsidRDefault="009019B8" w:rsidP="00967129">
      <w:pPr>
        <w:spacing w:after="0" w:line="240" w:lineRule="auto"/>
        <w:jc w:val="center"/>
        <w:rPr>
          <w:rFonts w:asciiTheme="minorHAnsi" w:hAnsiTheme="minorHAnsi" w:cstheme="minorHAnsi"/>
          <w:b/>
          <w:color w:val="000000"/>
          <w:sz w:val="40"/>
          <w:szCs w:val="44"/>
        </w:rPr>
      </w:pPr>
      <w:r w:rsidRPr="004727FD">
        <w:rPr>
          <w:rFonts w:asciiTheme="minorHAnsi" w:hAnsiTheme="minorHAnsi" w:cstheme="minorHAnsi"/>
          <w:b/>
          <w:color w:val="000000"/>
          <w:sz w:val="40"/>
          <w:szCs w:val="44"/>
        </w:rPr>
        <w:t>Future Evolution of</w:t>
      </w:r>
      <w:r w:rsidR="00A95A8D" w:rsidRPr="004727FD">
        <w:rPr>
          <w:rFonts w:asciiTheme="minorHAnsi" w:hAnsiTheme="minorHAnsi" w:cstheme="minorHAnsi"/>
          <w:b/>
          <w:color w:val="000000"/>
          <w:sz w:val="40"/>
          <w:szCs w:val="44"/>
        </w:rPr>
        <w:t xml:space="preserve"> </w:t>
      </w:r>
    </w:p>
    <w:p w14:paraId="5E74D775" w14:textId="2E83F6B7" w:rsidR="005F7CD8" w:rsidRPr="00CE1B23" w:rsidRDefault="00A95A8D" w:rsidP="00967129">
      <w:pPr>
        <w:spacing w:after="0" w:line="240" w:lineRule="auto"/>
        <w:jc w:val="center"/>
        <w:rPr>
          <w:rFonts w:asciiTheme="minorHAnsi" w:hAnsiTheme="minorHAnsi" w:cstheme="minorHAnsi"/>
          <w:b/>
          <w:color w:val="000000"/>
          <w:sz w:val="36"/>
          <w:szCs w:val="44"/>
        </w:rPr>
      </w:pPr>
      <w:r w:rsidRPr="00CE1B23">
        <w:rPr>
          <w:rFonts w:asciiTheme="minorHAnsi" w:hAnsiTheme="minorHAnsi" w:cstheme="minorHAnsi"/>
          <w:b/>
          <w:color w:val="000000"/>
          <w:sz w:val="36"/>
          <w:szCs w:val="44"/>
        </w:rPr>
        <w:t>I</w:t>
      </w:r>
      <w:r w:rsidR="00D81342" w:rsidRPr="00CE1B23">
        <w:rPr>
          <w:rFonts w:asciiTheme="minorHAnsi" w:hAnsiTheme="minorHAnsi" w:cstheme="minorHAnsi"/>
          <w:b/>
          <w:color w:val="000000"/>
          <w:sz w:val="36"/>
          <w:szCs w:val="44"/>
        </w:rPr>
        <w:t xml:space="preserve">nternational </w:t>
      </w:r>
      <w:r w:rsidRPr="00CE1B23">
        <w:rPr>
          <w:rFonts w:asciiTheme="minorHAnsi" w:hAnsiTheme="minorHAnsi" w:cstheme="minorHAnsi"/>
          <w:b/>
          <w:color w:val="000000"/>
          <w:sz w:val="36"/>
          <w:szCs w:val="44"/>
        </w:rPr>
        <w:t>C</w:t>
      </w:r>
      <w:r w:rsidR="00D81342" w:rsidRPr="00CE1B23">
        <w:rPr>
          <w:rFonts w:asciiTheme="minorHAnsi" w:hAnsiTheme="minorHAnsi" w:cstheme="minorHAnsi"/>
          <w:b/>
          <w:color w:val="000000"/>
          <w:sz w:val="36"/>
          <w:szCs w:val="44"/>
        </w:rPr>
        <w:t xml:space="preserve">LIVAR </w:t>
      </w:r>
      <w:r w:rsidRPr="00CE1B23">
        <w:rPr>
          <w:rFonts w:asciiTheme="minorHAnsi" w:hAnsiTheme="minorHAnsi" w:cstheme="minorHAnsi"/>
          <w:b/>
          <w:color w:val="000000"/>
          <w:sz w:val="36"/>
          <w:szCs w:val="44"/>
        </w:rPr>
        <w:t>M</w:t>
      </w:r>
      <w:r w:rsidR="00D81342" w:rsidRPr="00CE1B23">
        <w:rPr>
          <w:rFonts w:asciiTheme="minorHAnsi" w:hAnsiTheme="minorHAnsi" w:cstheme="minorHAnsi"/>
          <w:b/>
          <w:color w:val="000000"/>
          <w:sz w:val="36"/>
          <w:szCs w:val="44"/>
        </w:rPr>
        <w:t xml:space="preserve">onsoon </w:t>
      </w:r>
      <w:r w:rsidRPr="00CE1B23">
        <w:rPr>
          <w:rFonts w:asciiTheme="minorHAnsi" w:hAnsiTheme="minorHAnsi" w:cstheme="minorHAnsi"/>
          <w:b/>
          <w:color w:val="000000"/>
          <w:sz w:val="36"/>
          <w:szCs w:val="44"/>
        </w:rPr>
        <w:t>P</w:t>
      </w:r>
      <w:r w:rsidR="00D81342" w:rsidRPr="00CE1B23">
        <w:rPr>
          <w:rFonts w:asciiTheme="minorHAnsi" w:hAnsiTheme="minorHAnsi" w:cstheme="minorHAnsi"/>
          <w:b/>
          <w:color w:val="000000"/>
          <w:sz w:val="36"/>
          <w:szCs w:val="44"/>
        </w:rPr>
        <w:t xml:space="preserve">roject </w:t>
      </w:r>
      <w:r w:rsidRPr="00CE1B23">
        <w:rPr>
          <w:rFonts w:asciiTheme="minorHAnsi" w:hAnsiTheme="minorHAnsi" w:cstheme="minorHAnsi"/>
          <w:b/>
          <w:color w:val="000000"/>
          <w:sz w:val="36"/>
          <w:szCs w:val="44"/>
        </w:rPr>
        <w:t>O</w:t>
      </w:r>
      <w:r w:rsidR="00D81342" w:rsidRPr="00CE1B23">
        <w:rPr>
          <w:rFonts w:asciiTheme="minorHAnsi" w:hAnsiTheme="minorHAnsi" w:cstheme="minorHAnsi"/>
          <w:b/>
          <w:color w:val="000000"/>
          <w:sz w:val="36"/>
          <w:szCs w:val="44"/>
        </w:rPr>
        <w:t>ffice</w:t>
      </w:r>
      <w:r w:rsidR="00CE1B23" w:rsidRPr="00CE1B23">
        <w:rPr>
          <w:rFonts w:asciiTheme="minorHAnsi" w:hAnsiTheme="minorHAnsi" w:cstheme="minorHAnsi"/>
          <w:b/>
          <w:color w:val="000000"/>
          <w:sz w:val="36"/>
          <w:szCs w:val="44"/>
        </w:rPr>
        <w:t xml:space="preserve"> (ICMPO)</w:t>
      </w:r>
    </w:p>
    <w:p w14:paraId="7D2FEA73" w14:textId="5E30A0B5" w:rsidR="00AC11EA" w:rsidRPr="00D5291D" w:rsidRDefault="000F613B" w:rsidP="00967129">
      <w:pPr>
        <w:spacing w:after="0" w:line="240" w:lineRule="auto"/>
        <w:jc w:val="center"/>
        <w:rPr>
          <w:rFonts w:asciiTheme="minorHAnsi" w:hAnsiTheme="minorHAnsi" w:cstheme="minorHAnsi"/>
          <w:i/>
          <w:color w:val="000000"/>
          <w:sz w:val="28"/>
          <w:szCs w:val="44"/>
        </w:rPr>
      </w:pPr>
      <w:r w:rsidRPr="00D5291D">
        <w:rPr>
          <w:rFonts w:asciiTheme="minorHAnsi" w:hAnsiTheme="minorHAnsi" w:cstheme="minorHAnsi"/>
          <w:i/>
          <w:color w:val="000000"/>
          <w:sz w:val="28"/>
          <w:szCs w:val="44"/>
        </w:rPr>
        <w:t xml:space="preserve">Towards </w:t>
      </w:r>
    </w:p>
    <w:p w14:paraId="32CF123E" w14:textId="5F288140" w:rsidR="00AC11EA" w:rsidRPr="00DA146C" w:rsidRDefault="006C3043" w:rsidP="00967129">
      <w:pPr>
        <w:spacing w:after="0" w:line="240" w:lineRule="auto"/>
        <w:jc w:val="center"/>
        <w:rPr>
          <w:rFonts w:asciiTheme="minorHAnsi" w:hAnsiTheme="minorHAnsi" w:cstheme="minorHAnsi"/>
          <w:b/>
          <w:i/>
          <w:color w:val="000000"/>
          <w:sz w:val="36"/>
          <w:szCs w:val="44"/>
        </w:rPr>
      </w:pPr>
      <w:r w:rsidRPr="00DA146C">
        <w:rPr>
          <w:rFonts w:asciiTheme="minorHAnsi" w:hAnsiTheme="minorHAnsi" w:cstheme="minorHAnsi"/>
          <w:b/>
          <w:i/>
          <w:color w:val="000000"/>
          <w:sz w:val="36"/>
          <w:szCs w:val="44"/>
        </w:rPr>
        <w:t>W</w:t>
      </w:r>
      <w:r w:rsidR="00311C52">
        <w:rPr>
          <w:rFonts w:asciiTheme="minorHAnsi" w:hAnsiTheme="minorHAnsi" w:cstheme="minorHAnsi"/>
          <w:b/>
          <w:i/>
          <w:color w:val="000000"/>
          <w:sz w:val="36"/>
          <w:szCs w:val="44"/>
        </w:rPr>
        <w:t>CRP/WWRP</w:t>
      </w:r>
      <w:r w:rsidRPr="00DA146C">
        <w:rPr>
          <w:rFonts w:asciiTheme="minorHAnsi" w:hAnsiTheme="minorHAnsi" w:cstheme="minorHAnsi"/>
          <w:b/>
          <w:i/>
          <w:color w:val="000000"/>
          <w:sz w:val="36"/>
          <w:szCs w:val="44"/>
        </w:rPr>
        <w:t xml:space="preserve"> </w:t>
      </w:r>
      <w:r w:rsidR="004D585F" w:rsidRPr="00DA146C">
        <w:rPr>
          <w:rFonts w:asciiTheme="minorHAnsi" w:hAnsiTheme="minorHAnsi" w:cstheme="minorHAnsi"/>
          <w:b/>
          <w:i/>
          <w:color w:val="000000"/>
          <w:sz w:val="36"/>
          <w:szCs w:val="44"/>
        </w:rPr>
        <w:t>International</w:t>
      </w:r>
      <w:r w:rsidR="001F59D0" w:rsidRPr="00DA146C">
        <w:rPr>
          <w:rFonts w:asciiTheme="minorHAnsi" w:hAnsiTheme="minorHAnsi" w:cstheme="minorHAnsi"/>
          <w:b/>
          <w:i/>
          <w:color w:val="000000"/>
          <w:sz w:val="36"/>
          <w:szCs w:val="44"/>
        </w:rPr>
        <w:t xml:space="preserve"> </w:t>
      </w:r>
      <w:r w:rsidR="001D66DC" w:rsidRPr="00DA146C">
        <w:rPr>
          <w:rFonts w:asciiTheme="minorHAnsi" w:hAnsiTheme="minorHAnsi" w:cstheme="minorHAnsi"/>
          <w:b/>
          <w:i/>
          <w:color w:val="000000"/>
          <w:sz w:val="36"/>
          <w:szCs w:val="44"/>
        </w:rPr>
        <w:t>Monsoon</w:t>
      </w:r>
      <w:r w:rsidR="00A8266B">
        <w:rPr>
          <w:rFonts w:asciiTheme="minorHAnsi" w:hAnsiTheme="minorHAnsi" w:cstheme="minorHAnsi"/>
          <w:b/>
          <w:i/>
          <w:color w:val="000000"/>
          <w:sz w:val="36"/>
          <w:szCs w:val="44"/>
        </w:rPr>
        <w:t>s</w:t>
      </w:r>
      <w:r w:rsidR="00DA146C" w:rsidRPr="00DA146C">
        <w:rPr>
          <w:rFonts w:asciiTheme="minorHAnsi" w:hAnsiTheme="minorHAnsi" w:cstheme="minorHAnsi"/>
          <w:b/>
          <w:i/>
          <w:color w:val="000000"/>
          <w:sz w:val="36"/>
          <w:szCs w:val="44"/>
        </w:rPr>
        <w:t xml:space="preserve"> </w:t>
      </w:r>
      <w:r w:rsidRPr="00DA146C">
        <w:rPr>
          <w:rFonts w:asciiTheme="minorHAnsi" w:hAnsiTheme="minorHAnsi" w:cstheme="minorHAnsi"/>
          <w:b/>
          <w:i/>
          <w:color w:val="000000"/>
          <w:sz w:val="36"/>
          <w:szCs w:val="44"/>
        </w:rPr>
        <w:t>Project Office</w:t>
      </w:r>
      <w:r w:rsidR="0054072C" w:rsidRPr="00DA146C">
        <w:rPr>
          <w:rFonts w:asciiTheme="minorHAnsi" w:hAnsiTheme="minorHAnsi" w:cstheme="minorHAnsi"/>
          <w:b/>
          <w:i/>
          <w:color w:val="000000"/>
          <w:sz w:val="36"/>
          <w:szCs w:val="44"/>
        </w:rPr>
        <w:t xml:space="preserve"> </w:t>
      </w:r>
    </w:p>
    <w:p w14:paraId="4DA82C0A" w14:textId="4C459353" w:rsidR="001D6783" w:rsidRPr="00DA146C" w:rsidRDefault="006C3043" w:rsidP="00967129">
      <w:pPr>
        <w:spacing w:after="0" w:line="240" w:lineRule="auto"/>
        <w:jc w:val="center"/>
        <w:rPr>
          <w:rFonts w:asciiTheme="minorHAnsi" w:hAnsiTheme="minorHAnsi" w:cstheme="minorHAnsi"/>
          <w:b/>
          <w:i/>
          <w:color w:val="000000"/>
          <w:sz w:val="32"/>
          <w:szCs w:val="44"/>
        </w:rPr>
      </w:pPr>
      <w:r w:rsidRPr="00DA146C">
        <w:rPr>
          <w:rFonts w:asciiTheme="minorHAnsi" w:hAnsiTheme="minorHAnsi" w:cstheme="minorHAnsi"/>
          <w:b/>
          <w:i/>
          <w:color w:val="000000"/>
          <w:sz w:val="32"/>
          <w:szCs w:val="44"/>
        </w:rPr>
        <w:t xml:space="preserve"> </w:t>
      </w:r>
      <w:r w:rsidR="001D6783" w:rsidRPr="00DA146C">
        <w:rPr>
          <w:rFonts w:asciiTheme="minorHAnsi" w:hAnsiTheme="minorHAnsi" w:cstheme="minorHAnsi"/>
          <w:b/>
          <w:i/>
          <w:color w:val="000000"/>
          <w:sz w:val="32"/>
          <w:szCs w:val="44"/>
        </w:rPr>
        <w:t>(W</w:t>
      </w:r>
      <w:r w:rsidR="00DA146C" w:rsidRPr="00DA146C">
        <w:rPr>
          <w:rFonts w:asciiTheme="minorHAnsi" w:hAnsiTheme="minorHAnsi" w:cstheme="minorHAnsi"/>
          <w:b/>
          <w:i/>
          <w:color w:val="000000"/>
          <w:sz w:val="32"/>
          <w:szCs w:val="44"/>
        </w:rPr>
        <w:t>IMPO</w:t>
      </w:r>
      <w:r w:rsidR="001D6783" w:rsidRPr="00DA146C">
        <w:rPr>
          <w:rFonts w:asciiTheme="minorHAnsi" w:hAnsiTheme="minorHAnsi" w:cstheme="minorHAnsi"/>
          <w:b/>
          <w:i/>
          <w:color w:val="000000"/>
          <w:sz w:val="32"/>
          <w:szCs w:val="44"/>
        </w:rPr>
        <w:t>)</w:t>
      </w:r>
    </w:p>
    <w:p w14:paraId="00E884A9" w14:textId="1682BACE" w:rsidR="009A624C" w:rsidRDefault="009A624C" w:rsidP="00967129">
      <w:pPr>
        <w:spacing w:after="0" w:line="240" w:lineRule="auto"/>
        <w:jc w:val="center"/>
        <w:rPr>
          <w:rFonts w:asciiTheme="minorHAnsi" w:hAnsiTheme="minorHAnsi" w:cstheme="minorHAnsi"/>
          <w:b/>
          <w:color w:val="000000"/>
          <w:sz w:val="40"/>
          <w:szCs w:val="44"/>
        </w:rPr>
      </w:pPr>
    </w:p>
    <w:p w14:paraId="30452968" w14:textId="2D25D11B" w:rsidR="006407ED" w:rsidRDefault="006407ED" w:rsidP="00967129">
      <w:pPr>
        <w:spacing w:after="0" w:line="240" w:lineRule="auto"/>
        <w:jc w:val="center"/>
        <w:rPr>
          <w:rFonts w:asciiTheme="minorHAnsi" w:hAnsiTheme="minorHAnsi" w:cstheme="minorHAnsi"/>
          <w:color w:val="000000"/>
          <w:sz w:val="28"/>
          <w:szCs w:val="44"/>
        </w:rPr>
      </w:pPr>
      <w:r w:rsidRPr="006407ED">
        <w:rPr>
          <w:rFonts w:asciiTheme="minorHAnsi" w:hAnsiTheme="minorHAnsi" w:cstheme="minorHAnsi"/>
          <w:color w:val="000000"/>
          <w:sz w:val="28"/>
          <w:szCs w:val="44"/>
        </w:rPr>
        <w:t>A Draft Discussion Paper</w:t>
      </w:r>
    </w:p>
    <w:p w14:paraId="1ED3C4CA" w14:textId="0F5BDD4F" w:rsidR="00A24DAA" w:rsidRPr="000423FE" w:rsidRDefault="00A24DAA" w:rsidP="00967129">
      <w:pPr>
        <w:spacing w:after="0" w:line="240" w:lineRule="auto"/>
        <w:jc w:val="center"/>
        <w:rPr>
          <w:rFonts w:asciiTheme="minorHAnsi" w:hAnsiTheme="minorHAnsi" w:cstheme="minorHAnsi"/>
          <w:i/>
          <w:color w:val="000000"/>
        </w:rPr>
      </w:pPr>
      <w:r w:rsidRPr="000423FE">
        <w:rPr>
          <w:rFonts w:asciiTheme="minorHAnsi" w:hAnsiTheme="minorHAnsi" w:cstheme="minorHAnsi"/>
          <w:i/>
          <w:color w:val="000000"/>
        </w:rPr>
        <w:t>Prepared by Rupa Kumar Kolli (</w:t>
      </w:r>
      <w:r w:rsidR="00BB1E19" w:rsidRPr="000423FE">
        <w:rPr>
          <w:rFonts w:asciiTheme="minorHAnsi" w:hAnsiTheme="minorHAnsi" w:cstheme="minorHAnsi"/>
          <w:i/>
          <w:color w:val="000000"/>
        </w:rPr>
        <w:t>31</w:t>
      </w:r>
      <w:r w:rsidR="00EF4573" w:rsidRPr="000423FE">
        <w:rPr>
          <w:rFonts w:asciiTheme="minorHAnsi" w:hAnsiTheme="minorHAnsi" w:cstheme="minorHAnsi"/>
          <w:i/>
          <w:color w:val="000000"/>
        </w:rPr>
        <w:t xml:space="preserve"> December 2019)</w:t>
      </w:r>
      <w:bookmarkStart w:id="0" w:name="_GoBack"/>
      <w:bookmarkEnd w:id="0"/>
    </w:p>
    <w:p w14:paraId="1E532B6B" w14:textId="222F582C" w:rsidR="00EF4573" w:rsidRPr="000423FE" w:rsidRDefault="00EF4573" w:rsidP="00967129">
      <w:pPr>
        <w:spacing w:after="0" w:line="240" w:lineRule="auto"/>
        <w:jc w:val="center"/>
        <w:rPr>
          <w:rFonts w:asciiTheme="minorHAnsi" w:hAnsiTheme="minorHAnsi" w:cstheme="minorHAnsi"/>
          <w:i/>
          <w:color w:val="000000"/>
        </w:rPr>
      </w:pPr>
      <w:r w:rsidRPr="000423FE">
        <w:rPr>
          <w:rFonts w:asciiTheme="minorHAnsi" w:hAnsiTheme="minorHAnsi" w:cstheme="minorHAnsi"/>
          <w:i/>
          <w:color w:val="000000"/>
        </w:rPr>
        <w:t>Reviewed by</w:t>
      </w:r>
      <w:r w:rsidR="00F7160C" w:rsidRPr="000423FE">
        <w:rPr>
          <w:rFonts w:asciiTheme="minorHAnsi" w:hAnsiTheme="minorHAnsi" w:cstheme="minorHAnsi"/>
          <w:i/>
          <w:color w:val="000000"/>
        </w:rPr>
        <w:t xml:space="preserve"> Ashwini Kulkarni</w:t>
      </w:r>
      <w:r w:rsidRPr="000423FE">
        <w:rPr>
          <w:rFonts w:asciiTheme="minorHAnsi" w:hAnsiTheme="minorHAnsi" w:cstheme="minorHAnsi"/>
          <w:i/>
          <w:color w:val="000000"/>
        </w:rPr>
        <w:t xml:space="preserve"> (</w:t>
      </w:r>
      <w:r w:rsidR="00CE249D" w:rsidRPr="000423FE">
        <w:rPr>
          <w:rFonts w:asciiTheme="minorHAnsi" w:hAnsiTheme="minorHAnsi" w:cstheme="minorHAnsi"/>
          <w:i/>
          <w:color w:val="000000"/>
        </w:rPr>
        <w:t>1 January 2020</w:t>
      </w:r>
      <w:r w:rsidRPr="000423FE">
        <w:rPr>
          <w:rFonts w:asciiTheme="minorHAnsi" w:hAnsiTheme="minorHAnsi" w:cstheme="minorHAnsi"/>
          <w:i/>
          <w:color w:val="000000"/>
        </w:rPr>
        <w:t>)</w:t>
      </w:r>
      <w:r w:rsidR="00CE249D" w:rsidRPr="000423FE">
        <w:rPr>
          <w:rFonts w:asciiTheme="minorHAnsi" w:hAnsiTheme="minorHAnsi" w:cstheme="minorHAnsi"/>
          <w:i/>
          <w:color w:val="000000"/>
        </w:rPr>
        <w:t>, Michael Sparrow (</w:t>
      </w:r>
      <w:r w:rsidR="006259B1" w:rsidRPr="000423FE">
        <w:rPr>
          <w:rFonts w:asciiTheme="minorHAnsi" w:hAnsiTheme="minorHAnsi" w:cstheme="minorHAnsi"/>
          <w:i/>
          <w:color w:val="000000"/>
        </w:rPr>
        <w:t>8</w:t>
      </w:r>
      <w:r w:rsidR="005C5629">
        <w:rPr>
          <w:rFonts w:asciiTheme="minorHAnsi" w:hAnsiTheme="minorHAnsi" w:cstheme="minorHAnsi"/>
          <w:i/>
          <w:color w:val="000000"/>
        </w:rPr>
        <w:t xml:space="preserve"> &amp; 13</w:t>
      </w:r>
      <w:r w:rsidR="006259B1" w:rsidRPr="000423FE">
        <w:rPr>
          <w:rFonts w:asciiTheme="minorHAnsi" w:hAnsiTheme="minorHAnsi" w:cstheme="minorHAnsi"/>
          <w:i/>
          <w:color w:val="000000"/>
        </w:rPr>
        <w:t xml:space="preserve"> January 2020)</w:t>
      </w:r>
      <w:r w:rsidR="000C3E46">
        <w:rPr>
          <w:rFonts w:asciiTheme="minorHAnsi" w:hAnsiTheme="minorHAnsi" w:cstheme="minorHAnsi"/>
          <w:i/>
          <w:color w:val="000000"/>
        </w:rPr>
        <w:t xml:space="preserve">, </w:t>
      </w:r>
      <w:r w:rsidR="00871A10">
        <w:rPr>
          <w:rFonts w:asciiTheme="minorHAnsi" w:hAnsiTheme="minorHAnsi" w:cstheme="minorHAnsi"/>
          <w:i/>
          <w:color w:val="000000"/>
        </w:rPr>
        <w:t>M</w:t>
      </w:r>
      <w:r w:rsidR="00E855BF">
        <w:rPr>
          <w:rFonts w:asciiTheme="minorHAnsi" w:hAnsiTheme="minorHAnsi" w:cstheme="minorHAnsi"/>
          <w:i/>
          <w:color w:val="000000"/>
        </w:rPr>
        <w:t>adhavan Nair</w:t>
      </w:r>
      <w:r w:rsidR="00871A10">
        <w:rPr>
          <w:rFonts w:asciiTheme="minorHAnsi" w:hAnsiTheme="minorHAnsi" w:cstheme="minorHAnsi"/>
          <w:i/>
          <w:color w:val="000000"/>
        </w:rPr>
        <w:t xml:space="preserve"> Rajeevan (16 January 2020), </w:t>
      </w:r>
      <w:r w:rsidR="000C3E46">
        <w:rPr>
          <w:rFonts w:asciiTheme="minorHAnsi" w:hAnsiTheme="minorHAnsi" w:cstheme="minorHAnsi"/>
          <w:i/>
          <w:color w:val="000000"/>
        </w:rPr>
        <w:t>R</w:t>
      </w:r>
      <w:r w:rsidR="00E855BF">
        <w:rPr>
          <w:rFonts w:asciiTheme="minorHAnsi" w:hAnsiTheme="minorHAnsi" w:cstheme="minorHAnsi"/>
          <w:i/>
          <w:color w:val="000000"/>
        </w:rPr>
        <w:t>aghavan</w:t>
      </w:r>
      <w:r w:rsidR="000C3E46">
        <w:rPr>
          <w:rFonts w:asciiTheme="minorHAnsi" w:hAnsiTheme="minorHAnsi" w:cstheme="minorHAnsi"/>
          <w:i/>
          <w:color w:val="000000"/>
        </w:rPr>
        <w:t xml:space="preserve"> Krishnan</w:t>
      </w:r>
      <w:r w:rsidR="00E1135D">
        <w:rPr>
          <w:rFonts w:asciiTheme="minorHAnsi" w:hAnsiTheme="minorHAnsi" w:cstheme="minorHAnsi"/>
          <w:i/>
          <w:color w:val="000000"/>
        </w:rPr>
        <w:t xml:space="preserve"> (</w:t>
      </w:r>
      <w:r w:rsidR="00784DC6">
        <w:rPr>
          <w:rFonts w:asciiTheme="minorHAnsi" w:hAnsiTheme="minorHAnsi" w:cstheme="minorHAnsi"/>
          <w:i/>
          <w:color w:val="000000"/>
        </w:rPr>
        <w:t>25 January 2020)</w:t>
      </w:r>
    </w:p>
    <w:p w14:paraId="6BD239CB" w14:textId="097D2C34" w:rsidR="006C4E64" w:rsidRPr="000423FE" w:rsidRDefault="006C4E64" w:rsidP="00967129">
      <w:pPr>
        <w:spacing w:after="0" w:line="240" w:lineRule="auto"/>
        <w:jc w:val="center"/>
        <w:rPr>
          <w:rFonts w:asciiTheme="minorHAnsi" w:hAnsiTheme="minorHAnsi" w:cstheme="minorHAnsi"/>
          <w:i/>
          <w:color w:val="000000"/>
        </w:rPr>
      </w:pPr>
      <w:r w:rsidRPr="000423FE">
        <w:rPr>
          <w:rFonts w:asciiTheme="minorHAnsi" w:hAnsiTheme="minorHAnsi" w:cstheme="minorHAnsi"/>
          <w:i/>
          <w:color w:val="000000"/>
        </w:rPr>
        <w:t>Revised by Rupa Kumar Kolli (</w:t>
      </w:r>
      <w:r w:rsidR="005C5629">
        <w:rPr>
          <w:rFonts w:asciiTheme="minorHAnsi" w:hAnsiTheme="minorHAnsi" w:cstheme="minorHAnsi"/>
          <w:i/>
          <w:color w:val="000000"/>
        </w:rPr>
        <w:t>4</w:t>
      </w:r>
      <w:r w:rsidRPr="000423FE">
        <w:rPr>
          <w:rFonts w:asciiTheme="minorHAnsi" w:hAnsiTheme="minorHAnsi" w:cstheme="minorHAnsi"/>
          <w:i/>
          <w:color w:val="000000"/>
        </w:rPr>
        <w:t xml:space="preserve"> </w:t>
      </w:r>
      <w:r w:rsidR="00784DC6">
        <w:rPr>
          <w:rFonts w:asciiTheme="minorHAnsi" w:hAnsiTheme="minorHAnsi" w:cstheme="minorHAnsi"/>
          <w:i/>
          <w:color w:val="000000"/>
        </w:rPr>
        <w:t>Febr</w:t>
      </w:r>
      <w:r w:rsidRPr="000423FE">
        <w:rPr>
          <w:rFonts w:asciiTheme="minorHAnsi" w:hAnsiTheme="minorHAnsi" w:cstheme="minorHAnsi"/>
          <w:i/>
          <w:color w:val="000000"/>
        </w:rPr>
        <w:t>uary 2020)</w:t>
      </w:r>
    </w:p>
    <w:p w14:paraId="140A579A" w14:textId="77777777" w:rsidR="006407ED" w:rsidRPr="004727FD" w:rsidRDefault="006407ED" w:rsidP="00967129">
      <w:pPr>
        <w:spacing w:after="0" w:line="240" w:lineRule="auto"/>
        <w:jc w:val="center"/>
        <w:rPr>
          <w:rFonts w:asciiTheme="minorHAnsi" w:hAnsiTheme="minorHAnsi" w:cstheme="minorHAnsi"/>
          <w:b/>
          <w:color w:val="000000"/>
          <w:sz w:val="40"/>
          <w:szCs w:val="44"/>
        </w:rPr>
      </w:pPr>
    </w:p>
    <w:p w14:paraId="6617ABA6" w14:textId="437EF1EC" w:rsidR="00B00A5D" w:rsidRPr="00B00A5D" w:rsidRDefault="00B00A5D" w:rsidP="00B00A5D">
      <w:pPr>
        <w:pStyle w:val="ForschungsvertragText"/>
        <w:spacing w:after="0" w:line="240" w:lineRule="auto"/>
        <w:ind w:left="0"/>
        <w:jc w:val="both"/>
        <w:rPr>
          <w:rFonts w:asciiTheme="minorHAnsi" w:hAnsiTheme="minorHAnsi" w:cstheme="minorHAnsi"/>
          <w:b/>
          <w:color w:val="000000"/>
          <w:kern w:val="32"/>
          <w:sz w:val="24"/>
          <w:szCs w:val="24"/>
          <w:lang w:val="en-US"/>
        </w:rPr>
      </w:pPr>
      <w:r w:rsidRPr="00B00A5D">
        <w:rPr>
          <w:rFonts w:asciiTheme="minorHAnsi" w:hAnsiTheme="minorHAnsi" w:cstheme="minorHAnsi"/>
          <w:b/>
          <w:color w:val="000000"/>
          <w:kern w:val="32"/>
          <w:sz w:val="24"/>
          <w:szCs w:val="24"/>
          <w:lang w:val="en-US"/>
        </w:rPr>
        <w:t>1.</w:t>
      </w:r>
      <w:r>
        <w:rPr>
          <w:rFonts w:asciiTheme="minorHAnsi" w:hAnsiTheme="minorHAnsi" w:cstheme="minorHAnsi"/>
          <w:b/>
          <w:color w:val="000000"/>
          <w:kern w:val="32"/>
          <w:sz w:val="24"/>
          <w:szCs w:val="24"/>
          <w:lang w:val="en-US"/>
        </w:rPr>
        <w:tab/>
      </w:r>
      <w:r w:rsidRPr="00B00A5D">
        <w:rPr>
          <w:rFonts w:asciiTheme="minorHAnsi" w:hAnsiTheme="minorHAnsi" w:cstheme="minorHAnsi"/>
          <w:b/>
          <w:color w:val="000000"/>
          <w:kern w:val="32"/>
          <w:sz w:val="24"/>
          <w:szCs w:val="24"/>
          <w:lang w:val="en-US"/>
        </w:rPr>
        <w:t>Background</w:t>
      </w:r>
    </w:p>
    <w:p w14:paraId="150F7974" w14:textId="77777777" w:rsidR="00B00A5D" w:rsidRDefault="00B00A5D" w:rsidP="00967129">
      <w:pPr>
        <w:pStyle w:val="ForschungsvertragText"/>
        <w:spacing w:after="0" w:line="240" w:lineRule="auto"/>
        <w:ind w:left="0"/>
        <w:jc w:val="both"/>
        <w:rPr>
          <w:rFonts w:asciiTheme="minorHAnsi" w:hAnsiTheme="minorHAnsi" w:cstheme="minorHAnsi"/>
          <w:color w:val="000000"/>
          <w:kern w:val="32"/>
          <w:sz w:val="24"/>
          <w:szCs w:val="24"/>
          <w:lang w:val="en-US"/>
        </w:rPr>
      </w:pPr>
    </w:p>
    <w:p w14:paraId="437A9013" w14:textId="658683B0" w:rsidR="00A95A8D" w:rsidRPr="0071132D" w:rsidRDefault="00B00A5D" w:rsidP="00967129">
      <w:pPr>
        <w:pStyle w:val="ForschungsvertragText"/>
        <w:spacing w:after="0" w:line="240" w:lineRule="auto"/>
        <w:ind w:left="0"/>
        <w:jc w:val="both"/>
        <w:rPr>
          <w:rFonts w:asciiTheme="minorHAnsi" w:hAnsiTheme="minorHAnsi" w:cstheme="minorHAnsi"/>
          <w:color w:val="000000"/>
          <w:kern w:val="32"/>
          <w:sz w:val="24"/>
          <w:szCs w:val="24"/>
          <w:lang w:val="en-US"/>
        </w:rPr>
      </w:pPr>
      <w:r>
        <w:rPr>
          <w:rFonts w:asciiTheme="minorHAnsi" w:hAnsiTheme="minorHAnsi" w:cstheme="minorHAnsi"/>
          <w:color w:val="000000"/>
          <w:kern w:val="32"/>
          <w:sz w:val="24"/>
          <w:szCs w:val="24"/>
          <w:lang w:val="en-US"/>
        </w:rPr>
        <w:t>1.1</w:t>
      </w:r>
      <w:r>
        <w:rPr>
          <w:rFonts w:asciiTheme="minorHAnsi" w:hAnsiTheme="minorHAnsi" w:cstheme="minorHAnsi"/>
          <w:color w:val="000000"/>
          <w:kern w:val="32"/>
          <w:sz w:val="24"/>
          <w:szCs w:val="24"/>
          <w:lang w:val="en-US"/>
        </w:rPr>
        <w:tab/>
      </w:r>
      <w:r w:rsidR="00D05A2E">
        <w:rPr>
          <w:rFonts w:asciiTheme="minorHAnsi" w:hAnsiTheme="minorHAnsi" w:cstheme="minorHAnsi"/>
          <w:color w:val="000000"/>
          <w:kern w:val="32"/>
          <w:sz w:val="24"/>
          <w:szCs w:val="24"/>
          <w:lang w:val="en-US"/>
        </w:rPr>
        <w:t xml:space="preserve">The </w:t>
      </w:r>
      <w:r w:rsidR="00A95A8D" w:rsidRPr="0071132D">
        <w:rPr>
          <w:rFonts w:asciiTheme="minorHAnsi" w:hAnsiTheme="minorHAnsi" w:cstheme="minorHAnsi"/>
          <w:color w:val="000000"/>
          <w:kern w:val="32"/>
          <w:sz w:val="24"/>
          <w:szCs w:val="24"/>
          <w:lang w:val="en-US"/>
        </w:rPr>
        <w:t xml:space="preserve">Climate Variability and Predictability (CLIVAR) </w:t>
      </w:r>
      <w:r w:rsidR="00D05A2E">
        <w:rPr>
          <w:rFonts w:asciiTheme="minorHAnsi" w:hAnsiTheme="minorHAnsi" w:cstheme="minorHAnsi"/>
          <w:color w:val="000000"/>
          <w:kern w:val="32"/>
          <w:sz w:val="24"/>
          <w:szCs w:val="24"/>
          <w:lang w:val="en-US"/>
        </w:rPr>
        <w:t xml:space="preserve">project </w:t>
      </w:r>
      <w:r w:rsidR="00A95A8D" w:rsidRPr="0071132D">
        <w:rPr>
          <w:rFonts w:asciiTheme="minorHAnsi" w:hAnsiTheme="minorHAnsi" w:cstheme="minorHAnsi"/>
          <w:color w:val="000000"/>
          <w:kern w:val="32"/>
          <w:sz w:val="24"/>
          <w:szCs w:val="24"/>
          <w:lang w:val="en-US"/>
        </w:rPr>
        <w:t xml:space="preserve">is </w:t>
      </w:r>
      <w:r w:rsidR="00717255" w:rsidRPr="0071132D">
        <w:rPr>
          <w:rFonts w:asciiTheme="minorHAnsi" w:hAnsiTheme="minorHAnsi" w:cstheme="minorHAnsi"/>
          <w:color w:val="000000"/>
          <w:kern w:val="32"/>
          <w:sz w:val="24"/>
          <w:szCs w:val="24"/>
          <w:lang w:val="en-US"/>
        </w:rPr>
        <w:t>one of the</w:t>
      </w:r>
      <w:r w:rsidR="00A95A8D" w:rsidRPr="0071132D">
        <w:rPr>
          <w:rFonts w:asciiTheme="minorHAnsi" w:hAnsiTheme="minorHAnsi" w:cstheme="minorHAnsi"/>
          <w:color w:val="000000"/>
          <w:kern w:val="32"/>
          <w:sz w:val="24"/>
          <w:szCs w:val="24"/>
          <w:lang w:val="en-US"/>
        </w:rPr>
        <w:t xml:space="preserve"> core project</w:t>
      </w:r>
      <w:r w:rsidR="00717255" w:rsidRPr="0071132D">
        <w:rPr>
          <w:rFonts w:asciiTheme="minorHAnsi" w:hAnsiTheme="minorHAnsi" w:cstheme="minorHAnsi"/>
          <w:color w:val="000000"/>
          <w:kern w:val="32"/>
          <w:sz w:val="24"/>
          <w:szCs w:val="24"/>
          <w:lang w:val="en-US"/>
        </w:rPr>
        <w:t>s</w:t>
      </w:r>
      <w:r w:rsidR="00A95A8D" w:rsidRPr="0071132D">
        <w:rPr>
          <w:rFonts w:asciiTheme="minorHAnsi" w:hAnsiTheme="minorHAnsi" w:cstheme="minorHAnsi"/>
          <w:color w:val="000000"/>
          <w:kern w:val="32"/>
          <w:sz w:val="24"/>
          <w:szCs w:val="24"/>
          <w:lang w:val="en-US"/>
        </w:rPr>
        <w:t xml:space="preserve"> of the </w:t>
      </w:r>
      <w:r w:rsidR="00717255" w:rsidRPr="0071132D">
        <w:rPr>
          <w:rFonts w:asciiTheme="minorHAnsi" w:hAnsiTheme="minorHAnsi" w:cstheme="minorHAnsi"/>
          <w:color w:val="000000"/>
          <w:kern w:val="32"/>
          <w:sz w:val="24"/>
          <w:szCs w:val="24"/>
          <w:lang w:val="en-US"/>
        </w:rPr>
        <w:t>World Climate Research Programme (</w:t>
      </w:r>
      <w:r w:rsidR="00A95A8D" w:rsidRPr="0071132D">
        <w:rPr>
          <w:rFonts w:asciiTheme="minorHAnsi" w:hAnsiTheme="minorHAnsi" w:cstheme="minorHAnsi"/>
          <w:color w:val="000000"/>
          <w:kern w:val="32"/>
          <w:sz w:val="24"/>
          <w:szCs w:val="24"/>
          <w:lang w:val="en-US"/>
        </w:rPr>
        <w:t>WCRP</w:t>
      </w:r>
      <w:r w:rsidR="00717255" w:rsidRPr="0071132D">
        <w:rPr>
          <w:rFonts w:asciiTheme="minorHAnsi" w:hAnsiTheme="minorHAnsi" w:cstheme="minorHAnsi"/>
          <w:color w:val="000000"/>
          <w:kern w:val="32"/>
          <w:sz w:val="24"/>
          <w:szCs w:val="24"/>
          <w:lang w:val="en-US"/>
        </w:rPr>
        <w:t>)</w:t>
      </w:r>
      <w:r w:rsidR="008547D9" w:rsidRPr="0071132D">
        <w:rPr>
          <w:rFonts w:asciiTheme="minorHAnsi" w:hAnsiTheme="minorHAnsi" w:cstheme="minorHAnsi"/>
          <w:color w:val="000000"/>
          <w:kern w:val="32"/>
          <w:sz w:val="24"/>
          <w:szCs w:val="24"/>
          <w:lang w:val="en-US"/>
        </w:rPr>
        <w:t>, established</w:t>
      </w:r>
      <w:r w:rsidR="00A95A8D" w:rsidRPr="0071132D">
        <w:rPr>
          <w:rFonts w:asciiTheme="minorHAnsi" w:hAnsiTheme="minorHAnsi" w:cstheme="minorHAnsi"/>
          <w:color w:val="000000"/>
          <w:kern w:val="32"/>
          <w:sz w:val="24"/>
          <w:szCs w:val="24"/>
          <w:lang w:val="en-US"/>
        </w:rPr>
        <w:t xml:space="preserve"> in 1993 to study climate variability and predictability with a focus on the role of the coupled ocean and atmosphere within the climate system. The goal of CLIVAR is to improve understanding and prediction of ocean-atmosphere interactions and their influence on climate variability and change, to the benefit of society and the environment.</w:t>
      </w:r>
    </w:p>
    <w:p w14:paraId="7C2DB486" w14:textId="77777777" w:rsidR="00967129" w:rsidRDefault="00967129" w:rsidP="00967129">
      <w:pPr>
        <w:spacing w:after="0" w:line="240" w:lineRule="auto"/>
        <w:jc w:val="both"/>
        <w:rPr>
          <w:rFonts w:asciiTheme="minorHAnsi" w:hAnsiTheme="minorHAnsi" w:cstheme="minorHAnsi"/>
          <w:iCs/>
          <w:color w:val="000000"/>
          <w:sz w:val="24"/>
          <w:szCs w:val="24"/>
          <w:lang w:val="en-US"/>
        </w:rPr>
      </w:pPr>
    </w:p>
    <w:p w14:paraId="2CF657A3" w14:textId="0FD32CA2" w:rsidR="002B347E" w:rsidRDefault="00782D2F" w:rsidP="00DC3B6D">
      <w:pPr>
        <w:spacing w:after="0" w:line="240" w:lineRule="auto"/>
        <w:jc w:val="both"/>
        <w:rPr>
          <w:rFonts w:asciiTheme="minorHAnsi" w:hAnsiTheme="minorHAnsi" w:cstheme="minorHAnsi"/>
          <w:iCs/>
          <w:color w:val="000000"/>
          <w:sz w:val="24"/>
          <w:szCs w:val="24"/>
          <w:lang w:val="en-GB"/>
        </w:rPr>
      </w:pPr>
      <w:r>
        <w:rPr>
          <w:rFonts w:asciiTheme="minorHAnsi" w:hAnsiTheme="minorHAnsi" w:cstheme="minorHAnsi"/>
          <w:iCs/>
          <w:color w:val="000000"/>
          <w:sz w:val="24"/>
          <w:szCs w:val="24"/>
          <w:lang w:val="en-US"/>
        </w:rPr>
        <w:t>1.2</w:t>
      </w:r>
      <w:r>
        <w:rPr>
          <w:rFonts w:asciiTheme="minorHAnsi" w:hAnsiTheme="minorHAnsi" w:cstheme="minorHAnsi"/>
          <w:iCs/>
          <w:color w:val="000000"/>
          <w:sz w:val="24"/>
          <w:szCs w:val="24"/>
          <w:lang w:val="en-US"/>
        </w:rPr>
        <w:tab/>
      </w:r>
      <w:r w:rsidR="00A95A8D" w:rsidRPr="0071132D">
        <w:rPr>
          <w:rFonts w:asciiTheme="minorHAnsi" w:hAnsiTheme="minorHAnsi" w:cstheme="minorHAnsi"/>
          <w:iCs/>
          <w:color w:val="000000"/>
          <w:sz w:val="24"/>
          <w:szCs w:val="24"/>
          <w:lang w:val="en-US"/>
        </w:rPr>
        <w:t xml:space="preserve">The CLIVAR Scientific Steering Group (SSG) guides the scientific and technical activities of the project and reports to the WCRP </w:t>
      </w:r>
      <w:r w:rsidR="0093035F">
        <w:rPr>
          <w:rFonts w:asciiTheme="minorHAnsi" w:hAnsiTheme="minorHAnsi" w:cstheme="minorHAnsi"/>
          <w:iCs/>
          <w:color w:val="000000"/>
          <w:sz w:val="24"/>
          <w:szCs w:val="24"/>
          <w:lang w:val="en-US"/>
        </w:rPr>
        <w:t>Joint Scientific Committee (</w:t>
      </w:r>
      <w:r w:rsidR="00A95A8D" w:rsidRPr="0071132D">
        <w:rPr>
          <w:rFonts w:asciiTheme="minorHAnsi" w:hAnsiTheme="minorHAnsi" w:cstheme="minorHAnsi"/>
          <w:iCs/>
          <w:color w:val="000000"/>
          <w:sz w:val="24"/>
          <w:szCs w:val="24"/>
          <w:lang w:val="en-US"/>
        </w:rPr>
        <w:t>JSC</w:t>
      </w:r>
      <w:r w:rsidR="0093035F">
        <w:rPr>
          <w:rFonts w:asciiTheme="minorHAnsi" w:hAnsiTheme="minorHAnsi" w:cstheme="minorHAnsi"/>
          <w:iCs/>
          <w:color w:val="000000"/>
          <w:sz w:val="24"/>
          <w:szCs w:val="24"/>
          <w:lang w:val="en-US"/>
        </w:rPr>
        <w:t>)</w:t>
      </w:r>
      <w:r w:rsidR="00A95A8D" w:rsidRPr="0071132D">
        <w:rPr>
          <w:rFonts w:asciiTheme="minorHAnsi" w:hAnsiTheme="minorHAnsi" w:cstheme="minorHAnsi"/>
          <w:iCs/>
          <w:color w:val="000000"/>
          <w:sz w:val="24"/>
          <w:szCs w:val="24"/>
          <w:lang w:val="en-US"/>
        </w:rPr>
        <w:t>.  Initially the activities of the CLIVAR were administered and supported by a single International CLIVAR Project Office (ICPO).</w:t>
      </w:r>
      <w:r w:rsidR="002B347E" w:rsidRPr="0071132D">
        <w:rPr>
          <w:rFonts w:asciiTheme="minorHAnsi" w:eastAsia="Times New Roman" w:hAnsiTheme="minorHAnsi" w:cstheme="minorHAnsi"/>
          <w:color w:val="000000"/>
          <w:kern w:val="32"/>
          <w:sz w:val="24"/>
          <w:szCs w:val="24"/>
          <w:lang w:val="en-US" w:eastAsia="de-CH"/>
        </w:rPr>
        <w:t xml:space="preserve"> </w:t>
      </w:r>
      <w:r w:rsidR="00DC3B6D">
        <w:rPr>
          <w:rFonts w:asciiTheme="minorHAnsi" w:hAnsiTheme="minorHAnsi" w:cstheme="minorHAnsi"/>
          <w:iCs/>
          <w:color w:val="000000"/>
          <w:sz w:val="24"/>
          <w:szCs w:val="24"/>
          <w:lang w:val="en-US"/>
        </w:rPr>
        <w:t>Over the years the ICPO was hosted in different countries until the current situation with:</w:t>
      </w:r>
    </w:p>
    <w:p w14:paraId="013A15FD" w14:textId="77777777" w:rsidR="009A624C" w:rsidRPr="0071132D" w:rsidRDefault="009A624C" w:rsidP="00967129">
      <w:pPr>
        <w:spacing w:after="0" w:line="240" w:lineRule="auto"/>
        <w:jc w:val="both"/>
        <w:rPr>
          <w:rFonts w:asciiTheme="minorHAnsi" w:hAnsiTheme="minorHAnsi" w:cstheme="minorHAnsi"/>
          <w:iCs/>
          <w:color w:val="000000"/>
          <w:sz w:val="24"/>
          <w:szCs w:val="24"/>
          <w:lang w:val="en-GB"/>
        </w:rPr>
      </w:pPr>
    </w:p>
    <w:p w14:paraId="0FD55DCB" w14:textId="5AD4E7C8" w:rsidR="002B347E" w:rsidRPr="0071132D" w:rsidRDefault="002B347E" w:rsidP="00967129">
      <w:pPr>
        <w:numPr>
          <w:ilvl w:val="0"/>
          <w:numId w:val="1"/>
        </w:numPr>
        <w:spacing w:after="0" w:line="240" w:lineRule="auto"/>
        <w:jc w:val="both"/>
        <w:rPr>
          <w:rFonts w:asciiTheme="minorHAnsi" w:hAnsiTheme="minorHAnsi" w:cstheme="minorHAnsi"/>
          <w:iCs/>
          <w:color w:val="000000"/>
          <w:sz w:val="24"/>
          <w:szCs w:val="24"/>
          <w:lang w:val="en-GB"/>
        </w:rPr>
      </w:pPr>
      <w:r w:rsidRPr="0071132D">
        <w:rPr>
          <w:rFonts w:asciiTheme="minorHAnsi" w:hAnsiTheme="minorHAnsi" w:cstheme="minorHAnsi"/>
          <w:iCs/>
          <w:color w:val="000000"/>
          <w:sz w:val="24"/>
          <w:szCs w:val="24"/>
          <w:lang w:val="en-GB"/>
        </w:rPr>
        <w:t xml:space="preserve">International CLIVAR Global Project Office (Hosted by </w:t>
      </w:r>
      <w:r w:rsidR="009C1FEA">
        <w:rPr>
          <w:rFonts w:asciiTheme="minorHAnsi" w:hAnsiTheme="minorHAnsi" w:cstheme="minorHAnsi"/>
          <w:iCs/>
          <w:color w:val="000000"/>
          <w:sz w:val="24"/>
          <w:szCs w:val="24"/>
          <w:lang w:val="en-GB"/>
        </w:rPr>
        <w:t xml:space="preserve">the </w:t>
      </w:r>
      <w:r w:rsidRPr="0071132D">
        <w:rPr>
          <w:rFonts w:asciiTheme="minorHAnsi" w:hAnsiTheme="minorHAnsi" w:cstheme="minorHAnsi"/>
          <w:iCs/>
          <w:color w:val="000000"/>
          <w:sz w:val="24"/>
          <w:szCs w:val="24"/>
          <w:lang w:val="en-GB"/>
        </w:rPr>
        <w:t>First Institute of Oceanography, Qingdao</w:t>
      </w:r>
      <w:r w:rsidR="009C1FEA">
        <w:rPr>
          <w:rFonts w:asciiTheme="minorHAnsi" w:hAnsiTheme="minorHAnsi" w:cstheme="minorHAnsi"/>
          <w:iCs/>
          <w:color w:val="000000"/>
          <w:sz w:val="24"/>
          <w:szCs w:val="24"/>
          <w:lang w:val="en-GB"/>
        </w:rPr>
        <w:t>, China</w:t>
      </w:r>
      <w:r w:rsidRPr="0071132D">
        <w:rPr>
          <w:rFonts w:asciiTheme="minorHAnsi" w:hAnsiTheme="minorHAnsi" w:cstheme="minorHAnsi"/>
          <w:iCs/>
          <w:color w:val="000000"/>
          <w:sz w:val="24"/>
          <w:szCs w:val="24"/>
          <w:lang w:val="en-GB"/>
        </w:rPr>
        <w:t>)</w:t>
      </w:r>
      <w:r w:rsidR="005F3007">
        <w:rPr>
          <w:rFonts w:asciiTheme="minorHAnsi" w:hAnsiTheme="minorHAnsi" w:cstheme="minorHAnsi"/>
          <w:iCs/>
          <w:color w:val="000000"/>
          <w:sz w:val="24"/>
          <w:szCs w:val="24"/>
          <w:lang w:val="en-GB"/>
        </w:rPr>
        <w:t>, IC</w:t>
      </w:r>
      <w:r w:rsidR="00377601">
        <w:rPr>
          <w:rFonts w:asciiTheme="minorHAnsi" w:hAnsiTheme="minorHAnsi" w:cstheme="minorHAnsi"/>
          <w:iCs/>
          <w:color w:val="000000"/>
          <w:sz w:val="24"/>
          <w:szCs w:val="24"/>
          <w:lang w:val="en-GB"/>
        </w:rPr>
        <w:t>G</w:t>
      </w:r>
      <w:r w:rsidR="005F3007">
        <w:rPr>
          <w:rFonts w:asciiTheme="minorHAnsi" w:hAnsiTheme="minorHAnsi" w:cstheme="minorHAnsi"/>
          <w:iCs/>
          <w:color w:val="000000"/>
          <w:sz w:val="24"/>
          <w:szCs w:val="24"/>
          <w:lang w:val="en-GB"/>
        </w:rPr>
        <w:t>PO</w:t>
      </w:r>
    </w:p>
    <w:p w14:paraId="077BF617" w14:textId="253676CD" w:rsidR="002B347E" w:rsidRPr="0071132D" w:rsidRDefault="002B347E" w:rsidP="00967129">
      <w:pPr>
        <w:numPr>
          <w:ilvl w:val="0"/>
          <w:numId w:val="1"/>
        </w:numPr>
        <w:spacing w:after="0" w:line="240" w:lineRule="auto"/>
        <w:jc w:val="both"/>
        <w:rPr>
          <w:rFonts w:asciiTheme="minorHAnsi" w:hAnsiTheme="minorHAnsi" w:cstheme="minorHAnsi"/>
          <w:iCs/>
          <w:color w:val="000000"/>
          <w:sz w:val="24"/>
          <w:szCs w:val="24"/>
          <w:lang w:val="en-GB"/>
        </w:rPr>
      </w:pPr>
      <w:r w:rsidRPr="0071132D">
        <w:rPr>
          <w:rFonts w:asciiTheme="minorHAnsi" w:hAnsiTheme="minorHAnsi" w:cstheme="minorHAnsi"/>
          <w:iCs/>
          <w:color w:val="000000"/>
          <w:sz w:val="24"/>
          <w:szCs w:val="24"/>
          <w:lang w:val="en-GB"/>
        </w:rPr>
        <w:t>International CLIVAR Monsoon Project Office (</w:t>
      </w:r>
      <w:r w:rsidR="000E6869">
        <w:rPr>
          <w:rFonts w:asciiTheme="minorHAnsi" w:hAnsiTheme="minorHAnsi" w:cstheme="minorHAnsi"/>
          <w:iCs/>
          <w:color w:val="000000"/>
          <w:sz w:val="24"/>
          <w:szCs w:val="24"/>
          <w:lang w:val="en-GB"/>
        </w:rPr>
        <w:t xml:space="preserve">Hosted by the </w:t>
      </w:r>
      <w:r w:rsidRPr="0071132D">
        <w:rPr>
          <w:rFonts w:asciiTheme="minorHAnsi" w:hAnsiTheme="minorHAnsi" w:cstheme="minorHAnsi"/>
          <w:iCs/>
          <w:color w:val="000000"/>
          <w:sz w:val="24"/>
          <w:szCs w:val="24"/>
          <w:lang w:val="en-GB"/>
        </w:rPr>
        <w:t>Indian Institute of Tropical Meteorology, Pune, India)</w:t>
      </w:r>
      <w:r w:rsidR="005F3007">
        <w:rPr>
          <w:rFonts w:asciiTheme="minorHAnsi" w:hAnsiTheme="minorHAnsi" w:cstheme="minorHAnsi"/>
          <w:iCs/>
          <w:color w:val="000000"/>
          <w:sz w:val="24"/>
          <w:szCs w:val="24"/>
          <w:lang w:val="en-GB"/>
        </w:rPr>
        <w:t>, ICMPO</w:t>
      </w:r>
    </w:p>
    <w:p w14:paraId="26AFA8F8" w14:textId="3BF202B8" w:rsidR="00E41E29" w:rsidRDefault="00E41E29" w:rsidP="00967129">
      <w:pPr>
        <w:spacing w:after="0" w:line="240" w:lineRule="auto"/>
        <w:jc w:val="both"/>
        <w:rPr>
          <w:rFonts w:asciiTheme="minorHAnsi" w:hAnsiTheme="minorHAnsi" w:cstheme="minorHAnsi"/>
          <w:iCs/>
          <w:color w:val="000000"/>
          <w:sz w:val="24"/>
          <w:szCs w:val="24"/>
          <w:lang w:val="en-US"/>
        </w:rPr>
      </w:pPr>
    </w:p>
    <w:p w14:paraId="4E5F2868" w14:textId="0933922B" w:rsidR="00E41E29" w:rsidRDefault="00E41E29" w:rsidP="00967129">
      <w:pPr>
        <w:spacing w:after="0" w:line="240" w:lineRule="auto"/>
        <w:jc w:val="both"/>
        <w:rPr>
          <w:rFonts w:asciiTheme="minorHAnsi" w:hAnsiTheme="minorHAnsi" w:cstheme="minorHAnsi"/>
          <w:iCs/>
          <w:color w:val="000000"/>
          <w:sz w:val="24"/>
          <w:szCs w:val="24"/>
          <w:lang w:val="en-US"/>
        </w:rPr>
      </w:pPr>
      <w:r>
        <w:rPr>
          <w:rFonts w:asciiTheme="minorHAnsi" w:hAnsiTheme="minorHAnsi" w:cstheme="minorHAnsi"/>
          <w:iCs/>
          <w:color w:val="000000"/>
          <w:sz w:val="24"/>
          <w:szCs w:val="24"/>
          <w:lang w:val="en-US"/>
        </w:rPr>
        <w:t>1.</w:t>
      </w:r>
      <w:r w:rsidR="00B87377">
        <w:rPr>
          <w:rFonts w:asciiTheme="minorHAnsi" w:hAnsiTheme="minorHAnsi" w:cstheme="minorHAnsi"/>
          <w:iCs/>
          <w:color w:val="000000"/>
          <w:sz w:val="24"/>
          <w:szCs w:val="24"/>
          <w:lang w:val="en-US"/>
        </w:rPr>
        <w:t>3</w:t>
      </w:r>
      <w:r>
        <w:rPr>
          <w:rFonts w:asciiTheme="minorHAnsi" w:hAnsiTheme="minorHAnsi" w:cstheme="minorHAnsi"/>
          <w:iCs/>
          <w:color w:val="000000"/>
          <w:sz w:val="24"/>
          <w:szCs w:val="24"/>
          <w:lang w:val="en-US"/>
        </w:rPr>
        <w:tab/>
      </w:r>
      <w:r w:rsidR="00162912" w:rsidRPr="00162912">
        <w:rPr>
          <w:rFonts w:asciiTheme="minorHAnsi" w:hAnsiTheme="minorHAnsi" w:cstheme="minorHAnsi"/>
          <w:iCs/>
          <w:color w:val="000000"/>
          <w:sz w:val="24"/>
          <w:szCs w:val="24"/>
          <w:lang w:val="en-US"/>
        </w:rPr>
        <w:t>The establishment of ICMPO at IITM</w:t>
      </w:r>
      <w:r w:rsidR="00223FB2">
        <w:rPr>
          <w:rFonts w:asciiTheme="minorHAnsi" w:hAnsiTheme="minorHAnsi" w:cstheme="minorHAnsi"/>
          <w:iCs/>
          <w:color w:val="000000"/>
          <w:sz w:val="24"/>
          <w:szCs w:val="24"/>
          <w:lang w:val="en-US"/>
        </w:rPr>
        <w:t>, u</w:t>
      </w:r>
      <w:r w:rsidR="00223FB2" w:rsidRPr="00162912">
        <w:rPr>
          <w:rFonts w:asciiTheme="minorHAnsi" w:hAnsiTheme="minorHAnsi" w:cstheme="minorHAnsi"/>
          <w:iCs/>
          <w:color w:val="000000"/>
          <w:sz w:val="24"/>
          <w:szCs w:val="24"/>
          <w:lang w:val="en-US"/>
        </w:rPr>
        <w:t>nder the auspices of the Ministry of Earth Sciences, Government of India,</w:t>
      </w:r>
      <w:r w:rsidR="00162912" w:rsidRPr="00162912">
        <w:rPr>
          <w:rFonts w:asciiTheme="minorHAnsi" w:hAnsiTheme="minorHAnsi" w:cstheme="minorHAnsi"/>
          <w:iCs/>
          <w:color w:val="000000"/>
          <w:sz w:val="24"/>
          <w:szCs w:val="24"/>
          <w:lang w:val="en-US"/>
        </w:rPr>
        <w:t xml:space="preserve"> was formalized under an agreement between WCRP and IITM, signed on 9 February 2015 with a validity of five years (i.e., up to February 2020).  The agreement has been approved by the Union Cabinet</w:t>
      </w:r>
      <w:r w:rsidR="007E49AD">
        <w:rPr>
          <w:rFonts w:asciiTheme="minorHAnsi" w:hAnsiTheme="minorHAnsi" w:cstheme="minorHAnsi"/>
          <w:iCs/>
          <w:color w:val="000000"/>
          <w:sz w:val="24"/>
          <w:szCs w:val="24"/>
          <w:lang w:val="en-US"/>
        </w:rPr>
        <w:t>, Government of India</w:t>
      </w:r>
      <w:r w:rsidR="00162912" w:rsidRPr="00162912">
        <w:rPr>
          <w:rFonts w:asciiTheme="minorHAnsi" w:hAnsiTheme="minorHAnsi" w:cstheme="minorHAnsi"/>
          <w:iCs/>
          <w:color w:val="000000"/>
          <w:sz w:val="24"/>
          <w:szCs w:val="24"/>
          <w:lang w:val="en-US"/>
        </w:rPr>
        <w:t xml:space="preserve"> on 12 August 2015</w:t>
      </w:r>
      <w:r w:rsidR="007E49AD">
        <w:rPr>
          <w:rFonts w:asciiTheme="minorHAnsi" w:hAnsiTheme="minorHAnsi" w:cstheme="minorHAnsi"/>
          <w:iCs/>
          <w:color w:val="000000"/>
          <w:sz w:val="24"/>
          <w:szCs w:val="24"/>
          <w:lang w:val="en-US"/>
        </w:rPr>
        <w:t>, providing a very high-level endorsement of the arrangement</w:t>
      </w:r>
      <w:r w:rsidR="00162912" w:rsidRPr="00162912">
        <w:rPr>
          <w:rFonts w:asciiTheme="minorHAnsi" w:hAnsiTheme="minorHAnsi" w:cstheme="minorHAnsi"/>
          <w:iCs/>
          <w:color w:val="000000"/>
          <w:sz w:val="24"/>
          <w:szCs w:val="24"/>
          <w:lang w:val="en-US"/>
        </w:rPr>
        <w:t>.</w:t>
      </w:r>
    </w:p>
    <w:p w14:paraId="01100777" w14:textId="5EFB06F8" w:rsidR="00703234" w:rsidRDefault="00703234" w:rsidP="00967129">
      <w:pPr>
        <w:spacing w:after="0" w:line="240" w:lineRule="auto"/>
        <w:jc w:val="both"/>
        <w:rPr>
          <w:rFonts w:asciiTheme="minorHAnsi" w:hAnsiTheme="minorHAnsi" w:cstheme="minorHAnsi"/>
          <w:iCs/>
          <w:color w:val="000000"/>
          <w:sz w:val="24"/>
          <w:szCs w:val="24"/>
          <w:lang w:val="en-US"/>
        </w:rPr>
      </w:pPr>
    </w:p>
    <w:p w14:paraId="5F472E69" w14:textId="038E1AF7" w:rsidR="00703234" w:rsidRDefault="00703234" w:rsidP="00967129">
      <w:pPr>
        <w:spacing w:after="0" w:line="240" w:lineRule="auto"/>
        <w:jc w:val="both"/>
        <w:rPr>
          <w:rFonts w:asciiTheme="minorHAnsi" w:hAnsiTheme="minorHAnsi" w:cstheme="minorHAnsi"/>
          <w:sz w:val="24"/>
          <w:szCs w:val="24"/>
        </w:rPr>
      </w:pPr>
      <w:r>
        <w:rPr>
          <w:rFonts w:asciiTheme="minorHAnsi" w:hAnsiTheme="minorHAnsi" w:cstheme="minorHAnsi"/>
          <w:iCs/>
          <w:color w:val="000000"/>
          <w:sz w:val="24"/>
          <w:szCs w:val="24"/>
          <w:lang w:val="en-US"/>
        </w:rPr>
        <w:t>1.</w:t>
      </w:r>
      <w:r w:rsidR="00B87377">
        <w:rPr>
          <w:rFonts w:asciiTheme="minorHAnsi" w:hAnsiTheme="minorHAnsi" w:cstheme="minorHAnsi"/>
          <w:iCs/>
          <w:color w:val="000000"/>
          <w:sz w:val="24"/>
          <w:szCs w:val="24"/>
          <w:lang w:val="en-US"/>
        </w:rPr>
        <w:t>4</w:t>
      </w:r>
      <w:r>
        <w:rPr>
          <w:rFonts w:asciiTheme="minorHAnsi" w:hAnsiTheme="minorHAnsi" w:cstheme="minorHAnsi"/>
          <w:iCs/>
          <w:color w:val="000000"/>
          <w:sz w:val="24"/>
          <w:szCs w:val="24"/>
          <w:lang w:val="en-US"/>
        </w:rPr>
        <w:tab/>
      </w:r>
      <w:r w:rsidRPr="00CF06F4">
        <w:rPr>
          <w:rFonts w:asciiTheme="minorHAnsi" w:hAnsiTheme="minorHAnsi" w:cstheme="minorHAnsi"/>
          <w:sz w:val="24"/>
          <w:szCs w:val="24"/>
        </w:rPr>
        <w:t xml:space="preserve">The Global Energy and Water cycle </w:t>
      </w:r>
      <w:proofErr w:type="spellStart"/>
      <w:r w:rsidRPr="00CF06F4">
        <w:rPr>
          <w:rFonts w:asciiTheme="minorHAnsi" w:hAnsiTheme="minorHAnsi" w:cstheme="minorHAnsi"/>
          <w:sz w:val="24"/>
          <w:szCs w:val="24"/>
        </w:rPr>
        <w:t>E</w:t>
      </w:r>
      <w:r w:rsidR="007451ED">
        <w:rPr>
          <w:rFonts w:asciiTheme="minorHAnsi" w:hAnsiTheme="minorHAnsi" w:cstheme="minorHAnsi"/>
          <w:sz w:val="24"/>
          <w:szCs w:val="24"/>
        </w:rPr>
        <w:t>X</w:t>
      </w:r>
      <w:r w:rsidRPr="00CF06F4">
        <w:rPr>
          <w:rFonts w:asciiTheme="minorHAnsi" w:hAnsiTheme="minorHAnsi" w:cstheme="minorHAnsi"/>
          <w:sz w:val="24"/>
          <w:szCs w:val="24"/>
        </w:rPr>
        <w:t>changes</w:t>
      </w:r>
      <w:proofErr w:type="spellEnd"/>
      <w:r w:rsidRPr="00CF06F4">
        <w:rPr>
          <w:rFonts w:asciiTheme="minorHAnsi" w:hAnsiTheme="minorHAnsi" w:cstheme="minorHAnsi"/>
          <w:sz w:val="24"/>
          <w:szCs w:val="24"/>
        </w:rPr>
        <w:t xml:space="preserve"> (GEWEX) is another core project of WCRP, dedicated to understanding Earth’s water cycle and energy fluxes at the surface and in the atmosphere.</w:t>
      </w:r>
      <w:r w:rsidR="00E00480">
        <w:rPr>
          <w:rFonts w:asciiTheme="minorHAnsi" w:hAnsiTheme="minorHAnsi" w:cstheme="minorHAnsi"/>
          <w:sz w:val="24"/>
          <w:szCs w:val="24"/>
        </w:rPr>
        <w:t xml:space="preserve">  </w:t>
      </w:r>
      <w:r w:rsidR="00AE5965">
        <w:rPr>
          <w:rFonts w:asciiTheme="minorHAnsi" w:hAnsiTheme="minorHAnsi" w:cstheme="minorHAnsi"/>
          <w:sz w:val="24"/>
          <w:szCs w:val="24"/>
        </w:rPr>
        <w:t xml:space="preserve">GEWEX is supported by the </w:t>
      </w:r>
      <w:r w:rsidR="004B2388" w:rsidRPr="004B2388">
        <w:rPr>
          <w:rFonts w:asciiTheme="minorHAnsi" w:hAnsiTheme="minorHAnsi" w:cstheme="minorHAnsi"/>
          <w:sz w:val="24"/>
          <w:szCs w:val="24"/>
        </w:rPr>
        <w:t>International GEWEX Project Office (IGPO)</w:t>
      </w:r>
      <w:r w:rsidR="003074D9">
        <w:rPr>
          <w:rFonts w:asciiTheme="minorHAnsi" w:hAnsiTheme="minorHAnsi" w:cstheme="minorHAnsi"/>
          <w:sz w:val="24"/>
          <w:szCs w:val="24"/>
        </w:rPr>
        <w:t xml:space="preserve">, </w:t>
      </w:r>
      <w:r w:rsidR="00CC29FA">
        <w:rPr>
          <w:rFonts w:asciiTheme="minorHAnsi" w:hAnsiTheme="minorHAnsi" w:cstheme="minorHAnsi"/>
          <w:sz w:val="24"/>
          <w:szCs w:val="24"/>
        </w:rPr>
        <w:t xml:space="preserve">located in </w:t>
      </w:r>
      <w:r w:rsidR="00CC29FA">
        <w:rPr>
          <w:rFonts w:asciiTheme="minorHAnsi" w:hAnsiTheme="minorHAnsi" w:cstheme="minorHAnsi"/>
          <w:sz w:val="24"/>
          <w:szCs w:val="24"/>
        </w:rPr>
        <w:lastRenderedPageBreak/>
        <w:t xml:space="preserve">Washington, USA.  </w:t>
      </w:r>
      <w:r w:rsidR="00E00480">
        <w:rPr>
          <w:rFonts w:asciiTheme="minorHAnsi" w:hAnsiTheme="minorHAnsi" w:cstheme="minorHAnsi"/>
          <w:sz w:val="24"/>
          <w:szCs w:val="24"/>
        </w:rPr>
        <w:t>GEWEX has close ongoing linkages with CLIVAR</w:t>
      </w:r>
      <w:r w:rsidR="002E052C">
        <w:rPr>
          <w:rFonts w:asciiTheme="minorHAnsi" w:hAnsiTheme="minorHAnsi" w:cstheme="minorHAnsi"/>
          <w:sz w:val="24"/>
          <w:szCs w:val="24"/>
        </w:rPr>
        <w:t>, of which the monsoons constitute a key theme.</w:t>
      </w:r>
    </w:p>
    <w:p w14:paraId="507429A3" w14:textId="136E2922" w:rsidR="00ED27DE" w:rsidRDefault="00ED27DE" w:rsidP="00967129">
      <w:pPr>
        <w:spacing w:after="0" w:line="240" w:lineRule="auto"/>
        <w:jc w:val="both"/>
        <w:rPr>
          <w:rFonts w:asciiTheme="minorHAnsi" w:hAnsiTheme="minorHAnsi" w:cstheme="minorHAnsi"/>
          <w:sz w:val="24"/>
          <w:szCs w:val="24"/>
        </w:rPr>
      </w:pPr>
    </w:p>
    <w:p w14:paraId="1C46E175" w14:textId="7540FCE0" w:rsidR="00DD1660" w:rsidRDefault="00ED27DE" w:rsidP="00F4362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w:t>
      </w:r>
      <w:r w:rsidR="00B87377">
        <w:rPr>
          <w:rFonts w:asciiTheme="minorHAnsi" w:hAnsiTheme="minorHAnsi" w:cstheme="minorHAnsi"/>
          <w:sz w:val="24"/>
          <w:szCs w:val="24"/>
        </w:rPr>
        <w:t>5</w:t>
      </w:r>
      <w:r>
        <w:rPr>
          <w:rFonts w:asciiTheme="minorHAnsi" w:hAnsiTheme="minorHAnsi" w:cstheme="minorHAnsi"/>
          <w:sz w:val="24"/>
          <w:szCs w:val="24"/>
        </w:rPr>
        <w:tab/>
      </w:r>
      <w:r w:rsidR="00F4362D" w:rsidRPr="00F4362D">
        <w:rPr>
          <w:rFonts w:asciiTheme="minorHAnsi" w:hAnsiTheme="minorHAnsi" w:cstheme="minorHAnsi"/>
          <w:sz w:val="24"/>
          <w:szCs w:val="24"/>
        </w:rPr>
        <w:t>The CLIVAR/GEWEX Monsoons Panel was proposed at and established following the 7th International GEWEX Conference at The Hague, July 2014 following the closure of the CLIVAR Regional Panels (</w:t>
      </w:r>
      <w:r w:rsidR="003403A9">
        <w:rPr>
          <w:rFonts w:asciiTheme="minorHAnsi" w:hAnsiTheme="minorHAnsi" w:cstheme="minorHAnsi"/>
          <w:sz w:val="24"/>
          <w:szCs w:val="24"/>
        </w:rPr>
        <w:t xml:space="preserve">viz., Asian-Australian Monsoon Panel </w:t>
      </w:r>
      <w:r w:rsidR="003E796D">
        <w:rPr>
          <w:rFonts w:asciiTheme="minorHAnsi" w:hAnsiTheme="minorHAnsi" w:cstheme="minorHAnsi"/>
          <w:sz w:val="24"/>
          <w:szCs w:val="24"/>
        </w:rPr>
        <w:t>–</w:t>
      </w:r>
      <w:r w:rsidR="003403A9">
        <w:rPr>
          <w:rFonts w:asciiTheme="minorHAnsi" w:hAnsiTheme="minorHAnsi" w:cstheme="minorHAnsi"/>
          <w:sz w:val="24"/>
          <w:szCs w:val="24"/>
        </w:rPr>
        <w:t xml:space="preserve"> </w:t>
      </w:r>
      <w:r w:rsidR="00F4362D" w:rsidRPr="00F4362D">
        <w:rPr>
          <w:rFonts w:asciiTheme="minorHAnsi" w:hAnsiTheme="minorHAnsi" w:cstheme="minorHAnsi"/>
          <w:sz w:val="24"/>
          <w:szCs w:val="24"/>
        </w:rPr>
        <w:t>AAMP</w:t>
      </w:r>
      <w:r w:rsidR="003E796D">
        <w:rPr>
          <w:rFonts w:asciiTheme="minorHAnsi" w:hAnsiTheme="minorHAnsi" w:cstheme="minorHAnsi"/>
          <w:sz w:val="24"/>
          <w:szCs w:val="24"/>
        </w:rPr>
        <w:t>,</w:t>
      </w:r>
      <w:r w:rsidR="00F4362D" w:rsidRPr="00F4362D">
        <w:rPr>
          <w:rFonts w:asciiTheme="minorHAnsi" w:hAnsiTheme="minorHAnsi" w:cstheme="minorHAnsi"/>
          <w:sz w:val="24"/>
          <w:szCs w:val="24"/>
        </w:rPr>
        <w:t xml:space="preserve"> </w:t>
      </w:r>
      <w:r w:rsidR="00292C3D">
        <w:rPr>
          <w:rFonts w:asciiTheme="minorHAnsi" w:hAnsiTheme="minorHAnsi" w:cstheme="minorHAnsi"/>
          <w:sz w:val="24"/>
          <w:szCs w:val="24"/>
        </w:rPr>
        <w:t xml:space="preserve">Variability of the American Monsoon Systems </w:t>
      </w:r>
      <w:r w:rsidR="00777527">
        <w:rPr>
          <w:rFonts w:asciiTheme="minorHAnsi" w:hAnsiTheme="minorHAnsi" w:cstheme="minorHAnsi"/>
          <w:sz w:val="24"/>
          <w:szCs w:val="24"/>
        </w:rPr>
        <w:t>–</w:t>
      </w:r>
      <w:r w:rsidR="00292C3D">
        <w:rPr>
          <w:rFonts w:asciiTheme="minorHAnsi" w:hAnsiTheme="minorHAnsi" w:cstheme="minorHAnsi"/>
          <w:sz w:val="24"/>
          <w:szCs w:val="24"/>
        </w:rPr>
        <w:t xml:space="preserve"> </w:t>
      </w:r>
      <w:r w:rsidR="00F4362D" w:rsidRPr="00F4362D">
        <w:rPr>
          <w:rFonts w:asciiTheme="minorHAnsi" w:hAnsiTheme="minorHAnsi" w:cstheme="minorHAnsi"/>
          <w:sz w:val="24"/>
          <w:szCs w:val="24"/>
        </w:rPr>
        <w:t>VAMOS</w:t>
      </w:r>
      <w:r w:rsidR="00777527">
        <w:rPr>
          <w:rFonts w:asciiTheme="minorHAnsi" w:hAnsiTheme="minorHAnsi" w:cstheme="minorHAnsi"/>
          <w:sz w:val="24"/>
          <w:szCs w:val="24"/>
        </w:rPr>
        <w:t xml:space="preserve"> and Variability of the </w:t>
      </w:r>
      <w:r w:rsidR="00F4362D" w:rsidRPr="00F4362D">
        <w:rPr>
          <w:rFonts w:asciiTheme="minorHAnsi" w:hAnsiTheme="minorHAnsi" w:cstheme="minorHAnsi"/>
          <w:sz w:val="24"/>
          <w:szCs w:val="24"/>
        </w:rPr>
        <w:t>Africa</w:t>
      </w:r>
      <w:r w:rsidR="00777527">
        <w:rPr>
          <w:rFonts w:asciiTheme="minorHAnsi" w:hAnsiTheme="minorHAnsi" w:cstheme="minorHAnsi"/>
          <w:sz w:val="24"/>
          <w:szCs w:val="24"/>
        </w:rPr>
        <w:t xml:space="preserve">n Climate System </w:t>
      </w:r>
      <w:r w:rsidR="00966CDB">
        <w:rPr>
          <w:rFonts w:asciiTheme="minorHAnsi" w:hAnsiTheme="minorHAnsi" w:cstheme="minorHAnsi"/>
          <w:sz w:val="24"/>
          <w:szCs w:val="24"/>
        </w:rPr>
        <w:t xml:space="preserve">– VACS).  </w:t>
      </w:r>
      <w:r w:rsidR="00CE22B0">
        <w:rPr>
          <w:rFonts w:asciiTheme="minorHAnsi" w:hAnsiTheme="minorHAnsi" w:cstheme="minorHAnsi"/>
          <w:sz w:val="24"/>
          <w:szCs w:val="24"/>
        </w:rPr>
        <w:t>This global Monsoons Panel</w:t>
      </w:r>
      <w:r w:rsidR="00DD1660">
        <w:rPr>
          <w:rFonts w:asciiTheme="minorHAnsi" w:hAnsiTheme="minorHAnsi" w:cstheme="minorHAnsi"/>
          <w:sz w:val="24"/>
          <w:szCs w:val="24"/>
        </w:rPr>
        <w:t xml:space="preserve"> was conceived to</w:t>
      </w:r>
      <w:r w:rsidR="00F4362D" w:rsidRPr="00F4362D">
        <w:rPr>
          <w:rFonts w:asciiTheme="minorHAnsi" w:hAnsiTheme="minorHAnsi" w:cstheme="minorHAnsi"/>
          <w:sz w:val="24"/>
          <w:szCs w:val="24"/>
        </w:rPr>
        <w:t>:</w:t>
      </w:r>
    </w:p>
    <w:p w14:paraId="30C19A6F" w14:textId="56F1FB69" w:rsidR="00F4362D" w:rsidRPr="00F4362D" w:rsidRDefault="00F4362D" w:rsidP="00F4362D">
      <w:pPr>
        <w:spacing w:after="0" w:line="240" w:lineRule="auto"/>
        <w:jc w:val="both"/>
        <w:rPr>
          <w:rFonts w:asciiTheme="minorHAnsi" w:hAnsiTheme="minorHAnsi" w:cstheme="minorHAnsi"/>
          <w:sz w:val="24"/>
          <w:szCs w:val="24"/>
        </w:rPr>
      </w:pPr>
      <w:r w:rsidRPr="00F4362D">
        <w:rPr>
          <w:rFonts w:asciiTheme="minorHAnsi" w:hAnsiTheme="minorHAnsi" w:cstheme="minorHAnsi"/>
          <w:sz w:val="24"/>
          <w:szCs w:val="24"/>
        </w:rPr>
        <w:t xml:space="preserve"> </w:t>
      </w:r>
    </w:p>
    <w:p w14:paraId="0E4E6985" w14:textId="6D5348A1" w:rsidR="00F4362D" w:rsidRPr="00F1261D" w:rsidRDefault="00F4362D" w:rsidP="00882FB5">
      <w:pPr>
        <w:numPr>
          <w:ilvl w:val="0"/>
          <w:numId w:val="1"/>
        </w:numPr>
        <w:spacing w:after="0" w:line="240" w:lineRule="auto"/>
        <w:jc w:val="both"/>
        <w:rPr>
          <w:rFonts w:asciiTheme="minorHAnsi" w:hAnsiTheme="minorHAnsi" w:cstheme="minorHAnsi"/>
          <w:sz w:val="24"/>
          <w:szCs w:val="24"/>
        </w:rPr>
      </w:pPr>
      <w:r w:rsidRPr="00882FB5">
        <w:rPr>
          <w:rFonts w:asciiTheme="minorHAnsi" w:hAnsiTheme="minorHAnsi" w:cstheme="minorHAnsi"/>
          <w:iCs/>
          <w:color w:val="000000"/>
          <w:sz w:val="24"/>
          <w:szCs w:val="24"/>
          <w:lang w:val="en-GB"/>
        </w:rPr>
        <w:t>tak</w:t>
      </w:r>
      <w:r w:rsidR="00F1261D" w:rsidRPr="00882FB5">
        <w:rPr>
          <w:rFonts w:asciiTheme="minorHAnsi" w:hAnsiTheme="minorHAnsi" w:cstheme="minorHAnsi"/>
          <w:iCs/>
          <w:color w:val="000000"/>
          <w:sz w:val="24"/>
          <w:szCs w:val="24"/>
          <w:lang w:val="en-GB"/>
        </w:rPr>
        <w:t>e</w:t>
      </w:r>
      <w:r w:rsidRPr="00F1261D">
        <w:rPr>
          <w:rFonts w:asciiTheme="minorHAnsi" w:hAnsiTheme="minorHAnsi" w:cstheme="minorHAnsi"/>
          <w:sz w:val="24"/>
          <w:szCs w:val="24"/>
        </w:rPr>
        <w:t xml:space="preserve"> a more global view of monsoon activities, enabling knowledge and best practice to be shared between the various monsoon regions; and</w:t>
      </w:r>
    </w:p>
    <w:p w14:paraId="7132DAF2" w14:textId="46E28164" w:rsidR="00F4362D" w:rsidRPr="00F1261D" w:rsidRDefault="00F4362D" w:rsidP="00882FB5">
      <w:pPr>
        <w:numPr>
          <w:ilvl w:val="0"/>
          <w:numId w:val="1"/>
        </w:numPr>
        <w:spacing w:after="0" w:line="240" w:lineRule="auto"/>
        <w:jc w:val="both"/>
        <w:rPr>
          <w:rFonts w:asciiTheme="minorHAnsi" w:hAnsiTheme="minorHAnsi" w:cstheme="minorHAnsi"/>
          <w:sz w:val="24"/>
          <w:szCs w:val="24"/>
        </w:rPr>
      </w:pPr>
      <w:r w:rsidRPr="00882FB5">
        <w:rPr>
          <w:rFonts w:asciiTheme="minorHAnsi" w:hAnsiTheme="minorHAnsi" w:cstheme="minorHAnsi"/>
          <w:iCs/>
          <w:color w:val="000000"/>
          <w:sz w:val="24"/>
          <w:szCs w:val="24"/>
          <w:lang w:val="en-GB"/>
        </w:rPr>
        <w:t>better</w:t>
      </w:r>
      <w:r w:rsidRPr="00F1261D">
        <w:rPr>
          <w:rFonts w:asciiTheme="minorHAnsi" w:hAnsiTheme="minorHAnsi" w:cstheme="minorHAnsi"/>
          <w:sz w:val="24"/>
          <w:szCs w:val="24"/>
        </w:rPr>
        <w:t xml:space="preserve"> coordinat</w:t>
      </w:r>
      <w:r w:rsidR="00F1261D">
        <w:rPr>
          <w:rFonts w:asciiTheme="minorHAnsi" w:hAnsiTheme="minorHAnsi" w:cstheme="minorHAnsi"/>
          <w:sz w:val="24"/>
          <w:szCs w:val="24"/>
        </w:rPr>
        <w:t>e</w:t>
      </w:r>
      <w:r w:rsidRPr="00F1261D">
        <w:rPr>
          <w:rFonts w:asciiTheme="minorHAnsi" w:hAnsiTheme="minorHAnsi" w:cstheme="minorHAnsi"/>
          <w:sz w:val="24"/>
          <w:szCs w:val="24"/>
        </w:rPr>
        <w:t xml:space="preserve"> monsoons research between GEWEX and CLIVAR, particularly in emphasizing the role of convection and the land surface in the monsoons. </w:t>
      </w:r>
    </w:p>
    <w:p w14:paraId="2C9F264D" w14:textId="77777777" w:rsidR="00B47286" w:rsidRDefault="00B47286" w:rsidP="00B47286">
      <w:pPr>
        <w:spacing w:after="0" w:line="240" w:lineRule="auto"/>
        <w:jc w:val="both"/>
        <w:rPr>
          <w:rFonts w:asciiTheme="minorHAnsi" w:hAnsiTheme="minorHAnsi" w:cstheme="minorHAnsi"/>
          <w:sz w:val="24"/>
          <w:szCs w:val="24"/>
        </w:rPr>
      </w:pPr>
    </w:p>
    <w:p w14:paraId="1DE6650E" w14:textId="49856423" w:rsidR="00967F2E" w:rsidRPr="00B47286" w:rsidRDefault="00B47286" w:rsidP="00B47286">
      <w:pPr>
        <w:spacing w:after="0" w:line="240" w:lineRule="auto"/>
        <w:jc w:val="both"/>
        <w:rPr>
          <w:rFonts w:asciiTheme="minorHAnsi" w:hAnsiTheme="minorHAnsi" w:cstheme="minorHAnsi"/>
          <w:iCs/>
          <w:color w:val="000000"/>
          <w:sz w:val="24"/>
          <w:szCs w:val="24"/>
          <w:lang w:val="en-US"/>
        </w:rPr>
      </w:pPr>
      <w:r>
        <w:rPr>
          <w:rFonts w:asciiTheme="minorHAnsi" w:hAnsiTheme="minorHAnsi" w:cstheme="minorHAnsi"/>
          <w:sz w:val="24"/>
          <w:szCs w:val="24"/>
        </w:rPr>
        <w:t>1.</w:t>
      </w:r>
      <w:r w:rsidR="00B87377">
        <w:rPr>
          <w:rFonts w:asciiTheme="minorHAnsi" w:hAnsiTheme="minorHAnsi" w:cstheme="minorHAnsi"/>
          <w:sz w:val="24"/>
          <w:szCs w:val="24"/>
        </w:rPr>
        <w:t>6</w:t>
      </w:r>
      <w:r>
        <w:rPr>
          <w:rFonts w:asciiTheme="minorHAnsi" w:hAnsiTheme="minorHAnsi" w:cstheme="minorHAnsi"/>
          <w:sz w:val="24"/>
          <w:szCs w:val="24"/>
        </w:rPr>
        <w:tab/>
      </w:r>
      <w:r w:rsidR="00967F2E" w:rsidRPr="00B47286">
        <w:rPr>
          <w:rFonts w:asciiTheme="minorHAnsi" w:hAnsiTheme="minorHAnsi" w:cstheme="minorHAnsi"/>
          <w:sz w:val="24"/>
          <w:szCs w:val="24"/>
        </w:rPr>
        <w:t xml:space="preserve">The Monsoons Panel membership crosses CLIVAR and GEWEX research interests and all monsoon regions, with in-country membership where possible. While the Panel can take a global view, it </w:t>
      </w:r>
      <w:r w:rsidR="003B4C5C">
        <w:rPr>
          <w:rFonts w:asciiTheme="minorHAnsi" w:hAnsiTheme="minorHAnsi" w:cstheme="minorHAnsi"/>
          <w:sz w:val="24"/>
          <w:szCs w:val="24"/>
        </w:rPr>
        <w:t>recognizes th</w:t>
      </w:r>
      <w:r w:rsidR="00963078">
        <w:rPr>
          <w:rFonts w:asciiTheme="minorHAnsi" w:hAnsiTheme="minorHAnsi" w:cstheme="minorHAnsi"/>
          <w:sz w:val="24"/>
          <w:szCs w:val="24"/>
        </w:rPr>
        <w:t>e importance of</w:t>
      </w:r>
      <w:r w:rsidR="00265C48">
        <w:rPr>
          <w:rFonts w:asciiTheme="minorHAnsi" w:hAnsiTheme="minorHAnsi" w:cstheme="minorHAnsi"/>
          <w:sz w:val="24"/>
          <w:szCs w:val="24"/>
        </w:rPr>
        <w:t xml:space="preserve"> the need to retain focus on</w:t>
      </w:r>
      <w:r w:rsidR="00967F2E" w:rsidRPr="00B47286">
        <w:rPr>
          <w:rFonts w:asciiTheme="minorHAnsi" w:hAnsiTheme="minorHAnsi" w:cstheme="minorHAnsi"/>
          <w:sz w:val="24"/>
          <w:szCs w:val="24"/>
        </w:rPr>
        <w:t xml:space="preserve"> region-specific </w:t>
      </w:r>
      <w:r w:rsidR="007B1FD4">
        <w:t>weather and climate processes, phenomena and variability,</w:t>
      </w:r>
      <w:r w:rsidR="00967F2E" w:rsidRPr="00B47286">
        <w:rPr>
          <w:rFonts w:asciiTheme="minorHAnsi" w:hAnsiTheme="minorHAnsi" w:cstheme="minorHAnsi"/>
          <w:sz w:val="24"/>
          <w:szCs w:val="24"/>
        </w:rPr>
        <w:t xml:space="preserve"> </w:t>
      </w:r>
      <w:r w:rsidR="00265C48">
        <w:rPr>
          <w:rFonts w:asciiTheme="minorHAnsi" w:hAnsiTheme="minorHAnsi" w:cstheme="minorHAnsi"/>
          <w:sz w:val="24"/>
          <w:szCs w:val="24"/>
        </w:rPr>
        <w:t>engaging</w:t>
      </w:r>
      <w:r w:rsidR="00967F2E" w:rsidRPr="00B47286">
        <w:rPr>
          <w:rFonts w:asciiTheme="minorHAnsi" w:hAnsiTheme="minorHAnsi" w:cstheme="minorHAnsi"/>
          <w:sz w:val="24"/>
          <w:szCs w:val="24"/>
        </w:rPr>
        <w:t xml:space="preserve"> regional stakeholders</w:t>
      </w:r>
      <w:r w:rsidR="00095386">
        <w:rPr>
          <w:rFonts w:asciiTheme="minorHAnsi" w:hAnsiTheme="minorHAnsi" w:cstheme="minorHAnsi"/>
          <w:sz w:val="24"/>
          <w:szCs w:val="24"/>
        </w:rPr>
        <w:t xml:space="preserve">, develop linkages with </w:t>
      </w:r>
      <w:r w:rsidR="00BC7FB8">
        <w:rPr>
          <w:rFonts w:asciiTheme="minorHAnsi" w:hAnsiTheme="minorHAnsi" w:cstheme="minorHAnsi"/>
          <w:sz w:val="24"/>
          <w:szCs w:val="24"/>
        </w:rPr>
        <w:t xml:space="preserve">the </w:t>
      </w:r>
      <w:r w:rsidR="006244F9" w:rsidRPr="006244F9">
        <w:rPr>
          <w:rFonts w:asciiTheme="minorHAnsi" w:hAnsiTheme="minorHAnsi" w:cstheme="minorHAnsi"/>
          <w:sz w:val="24"/>
          <w:szCs w:val="24"/>
        </w:rPr>
        <w:t>Coordination Office for WCRP Regional Activities</w:t>
      </w:r>
      <w:r w:rsidR="00BC7FB8">
        <w:rPr>
          <w:rFonts w:asciiTheme="minorHAnsi" w:hAnsiTheme="minorHAnsi" w:cstheme="minorHAnsi"/>
          <w:sz w:val="24"/>
          <w:szCs w:val="24"/>
        </w:rPr>
        <w:t xml:space="preserve"> (</w:t>
      </w:r>
      <w:r w:rsidR="00095386">
        <w:rPr>
          <w:rFonts w:asciiTheme="minorHAnsi" w:hAnsiTheme="minorHAnsi" w:cstheme="minorHAnsi"/>
          <w:sz w:val="24"/>
          <w:szCs w:val="24"/>
        </w:rPr>
        <w:t>CORA</w:t>
      </w:r>
      <w:r w:rsidR="00BC7FB8">
        <w:rPr>
          <w:rFonts w:asciiTheme="minorHAnsi" w:hAnsiTheme="minorHAnsi" w:cstheme="minorHAnsi"/>
          <w:sz w:val="24"/>
          <w:szCs w:val="24"/>
        </w:rPr>
        <w:t>)</w:t>
      </w:r>
      <w:r w:rsidR="00967F2E" w:rsidRPr="00B47286">
        <w:rPr>
          <w:rFonts w:asciiTheme="minorHAnsi" w:hAnsiTheme="minorHAnsi" w:cstheme="minorHAnsi"/>
          <w:sz w:val="24"/>
          <w:szCs w:val="24"/>
        </w:rPr>
        <w:t xml:space="preserve"> and managing local knowledge exchange and up-skilling. The Monsoons Panel has established a</w:t>
      </w:r>
      <w:r w:rsidR="00004147">
        <w:rPr>
          <w:rFonts w:asciiTheme="minorHAnsi" w:hAnsiTheme="minorHAnsi" w:cstheme="minorHAnsi"/>
          <w:sz w:val="24"/>
          <w:szCs w:val="24"/>
        </w:rPr>
        <w:t>n internal</w:t>
      </w:r>
      <w:r w:rsidR="00967F2E" w:rsidRPr="00B47286">
        <w:rPr>
          <w:rFonts w:asciiTheme="minorHAnsi" w:hAnsiTheme="minorHAnsi" w:cstheme="minorHAnsi"/>
          <w:sz w:val="24"/>
          <w:szCs w:val="24"/>
        </w:rPr>
        <w:t xml:space="preserve"> structure </w:t>
      </w:r>
      <w:r w:rsidR="00004147">
        <w:rPr>
          <w:rFonts w:asciiTheme="minorHAnsi" w:hAnsiTheme="minorHAnsi" w:cstheme="minorHAnsi"/>
          <w:sz w:val="24"/>
          <w:szCs w:val="24"/>
        </w:rPr>
        <w:t xml:space="preserve">comprised </w:t>
      </w:r>
      <w:r w:rsidR="00967F2E" w:rsidRPr="00B47286">
        <w:rPr>
          <w:rFonts w:asciiTheme="minorHAnsi" w:hAnsiTheme="minorHAnsi" w:cstheme="minorHAnsi"/>
          <w:sz w:val="24"/>
          <w:szCs w:val="24"/>
        </w:rPr>
        <w:t xml:space="preserve">of </w:t>
      </w:r>
      <w:r w:rsidR="004F5F0F">
        <w:rPr>
          <w:rFonts w:asciiTheme="minorHAnsi" w:hAnsiTheme="minorHAnsi" w:cstheme="minorHAnsi"/>
          <w:sz w:val="24"/>
          <w:szCs w:val="24"/>
        </w:rPr>
        <w:t xml:space="preserve">three </w:t>
      </w:r>
      <w:r w:rsidR="00967F2E" w:rsidRPr="00B47286">
        <w:rPr>
          <w:rFonts w:asciiTheme="minorHAnsi" w:hAnsiTheme="minorHAnsi" w:cstheme="minorHAnsi"/>
          <w:sz w:val="24"/>
          <w:szCs w:val="24"/>
        </w:rPr>
        <w:t xml:space="preserve">Regional Working Groups, </w:t>
      </w:r>
      <w:r w:rsidR="002F23E8">
        <w:rPr>
          <w:rFonts w:asciiTheme="minorHAnsi" w:hAnsiTheme="minorHAnsi" w:cstheme="minorHAnsi"/>
          <w:sz w:val="24"/>
          <w:szCs w:val="24"/>
        </w:rPr>
        <w:t>with explicit responsibilities to address</w:t>
      </w:r>
      <w:r w:rsidR="00967F2E" w:rsidRPr="00B47286">
        <w:rPr>
          <w:rFonts w:asciiTheme="minorHAnsi" w:hAnsiTheme="minorHAnsi" w:cstheme="minorHAnsi"/>
          <w:sz w:val="24"/>
          <w:szCs w:val="24"/>
        </w:rPr>
        <w:t xml:space="preserve"> the Asia</w:t>
      </w:r>
      <w:r w:rsidR="004F5F0F">
        <w:rPr>
          <w:rFonts w:asciiTheme="minorHAnsi" w:hAnsiTheme="minorHAnsi" w:cstheme="minorHAnsi"/>
          <w:sz w:val="24"/>
          <w:szCs w:val="24"/>
        </w:rPr>
        <w:t>n</w:t>
      </w:r>
      <w:r w:rsidR="00967F2E" w:rsidRPr="00B47286">
        <w:rPr>
          <w:rFonts w:asciiTheme="minorHAnsi" w:hAnsiTheme="minorHAnsi" w:cstheme="minorHAnsi"/>
          <w:sz w:val="24"/>
          <w:szCs w:val="24"/>
        </w:rPr>
        <w:t>-Australia</w:t>
      </w:r>
      <w:r w:rsidR="004F5F0F">
        <w:rPr>
          <w:rFonts w:asciiTheme="minorHAnsi" w:hAnsiTheme="minorHAnsi" w:cstheme="minorHAnsi"/>
          <w:sz w:val="24"/>
          <w:szCs w:val="24"/>
        </w:rPr>
        <w:t>n</w:t>
      </w:r>
      <w:r w:rsidR="00967F2E" w:rsidRPr="00B47286">
        <w:rPr>
          <w:rFonts w:asciiTheme="minorHAnsi" w:hAnsiTheme="minorHAnsi" w:cstheme="minorHAnsi"/>
          <w:sz w:val="24"/>
          <w:szCs w:val="24"/>
        </w:rPr>
        <w:t>, America</w:t>
      </w:r>
      <w:r w:rsidR="004F5F0F">
        <w:rPr>
          <w:rFonts w:asciiTheme="minorHAnsi" w:hAnsiTheme="minorHAnsi" w:cstheme="minorHAnsi"/>
          <w:sz w:val="24"/>
          <w:szCs w:val="24"/>
        </w:rPr>
        <w:t>n</w:t>
      </w:r>
      <w:r w:rsidR="00967F2E" w:rsidRPr="00B47286">
        <w:rPr>
          <w:rFonts w:asciiTheme="minorHAnsi" w:hAnsiTheme="minorHAnsi" w:cstheme="minorHAnsi"/>
          <w:sz w:val="24"/>
          <w:szCs w:val="24"/>
        </w:rPr>
        <w:t xml:space="preserve"> and Africa</w:t>
      </w:r>
      <w:r w:rsidR="004F5F0F">
        <w:rPr>
          <w:rFonts w:asciiTheme="minorHAnsi" w:hAnsiTheme="minorHAnsi" w:cstheme="minorHAnsi"/>
          <w:sz w:val="24"/>
          <w:szCs w:val="24"/>
        </w:rPr>
        <w:t>n</w:t>
      </w:r>
      <w:r w:rsidR="00967F2E" w:rsidRPr="00B47286">
        <w:rPr>
          <w:rFonts w:asciiTheme="minorHAnsi" w:hAnsiTheme="minorHAnsi" w:cstheme="minorHAnsi"/>
          <w:sz w:val="24"/>
          <w:szCs w:val="24"/>
        </w:rPr>
        <w:t xml:space="preserve"> </w:t>
      </w:r>
      <w:r w:rsidR="004F5F0F">
        <w:rPr>
          <w:rFonts w:asciiTheme="minorHAnsi" w:hAnsiTheme="minorHAnsi" w:cstheme="minorHAnsi"/>
          <w:sz w:val="24"/>
          <w:szCs w:val="24"/>
        </w:rPr>
        <w:t>m</w:t>
      </w:r>
      <w:r w:rsidR="00967F2E" w:rsidRPr="00B47286">
        <w:rPr>
          <w:rFonts w:asciiTheme="minorHAnsi" w:hAnsiTheme="minorHAnsi" w:cstheme="minorHAnsi"/>
          <w:sz w:val="24"/>
          <w:szCs w:val="24"/>
        </w:rPr>
        <w:t>onsoon</w:t>
      </w:r>
      <w:r w:rsidR="004F5F0F">
        <w:rPr>
          <w:rFonts w:asciiTheme="minorHAnsi" w:hAnsiTheme="minorHAnsi" w:cstheme="minorHAnsi"/>
          <w:sz w:val="24"/>
          <w:szCs w:val="24"/>
        </w:rPr>
        <w:t>s</w:t>
      </w:r>
      <w:r w:rsidR="00967F2E" w:rsidRPr="00B47286">
        <w:rPr>
          <w:rFonts w:asciiTheme="minorHAnsi" w:hAnsiTheme="minorHAnsi" w:cstheme="minorHAnsi"/>
          <w:sz w:val="24"/>
          <w:szCs w:val="24"/>
        </w:rPr>
        <w:t>. See Monsoons Panel website</w:t>
      </w:r>
      <w:r w:rsidR="00F91787">
        <w:rPr>
          <w:rStyle w:val="FootnoteReference"/>
          <w:rFonts w:asciiTheme="minorHAnsi" w:hAnsiTheme="minorHAnsi" w:cstheme="minorHAnsi"/>
          <w:sz w:val="24"/>
          <w:szCs w:val="24"/>
        </w:rPr>
        <w:footnoteReference w:id="1"/>
      </w:r>
      <w:r w:rsidR="00967F2E" w:rsidRPr="00B47286">
        <w:rPr>
          <w:rFonts w:asciiTheme="minorHAnsi" w:hAnsiTheme="minorHAnsi" w:cstheme="minorHAnsi"/>
          <w:sz w:val="24"/>
          <w:szCs w:val="24"/>
        </w:rPr>
        <w:t xml:space="preserve"> for terms of reference and membership.</w:t>
      </w:r>
      <w:r w:rsidR="001102C7">
        <w:rPr>
          <w:rFonts w:asciiTheme="minorHAnsi" w:hAnsiTheme="minorHAnsi" w:cstheme="minorHAnsi"/>
          <w:sz w:val="24"/>
          <w:szCs w:val="24"/>
        </w:rPr>
        <w:t xml:space="preserve"> </w:t>
      </w:r>
    </w:p>
    <w:p w14:paraId="3A302AA9" w14:textId="77777777" w:rsidR="00F1261D" w:rsidRPr="00F4362D" w:rsidRDefault="00F1261D" w:rsidP="00F4362D">
      <w:pPr>
        <w:spacing w:after="0" w:line="240" w:lineRule="auto"/>
        <w:jc w:val="both"/>
        <w:rPr>
          <w:rFonts w:asciiTheme="minorHAnsi" w:hAnsiTheme="minorHAnsi" w:cstheme="minorHAnsi"/>
          <w:sz w:val="24"/>
          <w:szCs w:val="24"/>
        </w:rPr>
      </w:pPr>
    </w:p>
    <w:p w14:paraId="584AF302" w14:textId="67F0956B" w:rsidR="00EC5DF3" w:rsidRDefault="000950F0" w:rsidP="00F4362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1.</w:t>
      </w:r>
      <w:r w:rsidR="00B87377">
        <w:rPr>
          <w:rFonts w:asciiTheme="minorHAnsi" w:hAnsiTheme="minorHAnsi" w:cstheme="minorHAnsi"/>
          <w:sz w:val="24"/>
          <w:szCs w:val="24"/>
        </w:rPr>
        <w:t>7</w:t>
      </w:r>
      <w:r w:rsidR="00A83CDB">
        <w:rPr>
          <w:rFonts w:asciiTheme="minorHAnsi" w:hAnsiTheme="minorHAnsi" w:cstheme="minorHAnsi"/>
          <w:sz w:val="24"/>
          <w:szCs w:val="24"/>
        </w:rPr>
        <w:tab/>
        <w:t xml:space="preserve">With the </w:t>
      </w:r>
      <w:r w:rsidR="008B4102">
        <w:rPr>
          <w:rFonts w:asciiTheme="minorHAnsi" w:hAnsiTheme="minorHAnsi" w:cstheme="minorHAnsi"/>
          <w:sz w:val="24"/>
          <w:szCs w:val="24"/>
        </w:rPr>
        <w:t xml:space="preserve">impending completion of the tenure of the agreement between WCRP and IITM on </w:t>
      </w:r>
      <w:r w:rsidR="0017702E">
        <w:rPr>
          <w:rFonts w:asciiTheme="minorHAnsi" w:hAnsiTheme="minorHAnsi" w:cstheme="minorHAnsi"/>
          <w:sz w:val="24"/>
          <w:szCs w:val="24"/>
        </w:rPr>
        <w:t xml:space="preserve">9 </w:t>
      </w:r>
      <w:r w:rsidR="00ED05E6">
        <w:rPr>
          <w:rFonts w:asciiTheme="minorHAnsi" w:hAnsiTheme="minorHAnsi" w:cstheme="minorHAnsi"/>
          <w:sz w:val="24"/>
          <w:szCs w:val="24"/>
        </w:rPr>
        <w:t xml:space="preserve">February 2020, it is imperative to draw up a new agreement </w:t>
      </w:r>
      <w:r w:rsidR="00A8074F">
        <w:rPr>
          <w:rFonts w:asciiTheme="minorHAnsi" w:hAnsiTheme="minorHAnsi" w:cstheme="minorHAnsi"/>
          <w:sz w:val="24"/>
          <w:szCs w:val="24"/>
        </w:rPr>
        <w:t xml:space="preserve">to sustain this mutually </w:t>
      </w:r>
      <w:r w:rsidR="007704D5">
        <w:rPr>
          <w:rFonts w:asciiTheme="minorHAnsi" w:hAnsiTheme="minorHAnsi" w:cstheme="minorHAnsi"/>
          <w:sz w:val="24"/>
          <w:szCs w:val="24"/>
        </w:rPr>
        <w:t>beneficial arrangement, and also broaden the cooperation to cover monsoon research more comprehensively under the various programmes of the World Meteorological Organization (WMO)</w:t>
      </w:r>
      <w:r w:rsidR="00852F64">
        <w:rPr>
          <w:rFonts w:asciiTheme="minorHAnsi" w:hAnsiTheme="minorHAnsi" w:cstheme="minorHAnsi"/>
          <w:sz w:val="24"/>
          <w:szCs w:val="24"/>
        </w:rPr>
        <w:t>, including those co-sponsored by it.</w:t>
      </w:r>
    </w:p>
    <w:p w14:paraId="5AF20123" w14:textId="77777777" w:rsidR="00EC5DF3" w:rsidRDefault="00EC5DF3" w:rsidP="00F4362D">
      <w:pPr>
        <w:spacing w:after="0" w:line="240" w:lineRule="auto"/>
        <w:jc w:val="both"/>
        <w:rPr>
          <w:rFonts w:asciiTheme="minorHAnsi" w:hAnsiTheme="minorHAnsi" w:cstheme="minorHAnsi"/>
          <w:sz w:val="24"/>
          <w:szCs w:val="24"/>
        </w:rPr>
      </w:pPr>
    </w:p>
    <w:p w14:paraId="4BD1E166" w14:textId="2DCECACD" w:rsidR="0037212A" w:rsidRDefault="0037212A" w:rsidP="00967129">
      <w:pPr>
        <w:spacing w:after="0" w:line="240"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t>2.</w:t>
      </w:r>
      <w:r w:rsidR="00602F83">
        <w:rPr>
          <w:rFonts w:asciiTheme="minorHAnsi" w:hAnsiTheme="minorHAnsi" w:cstheme="minorHAnsi"/>
          <w:b/>
          <w:color w:val="000000"/>
          <w:sz w:val="24"/>
          <w:szCs w:val="24"/>
        </w:rPr>
        <w:tab/>
      </w:r>
      <w:r w:rsidR="00602F83" w:rsidRPr="00602F83">
        <w:rPr>
          <w:rFonts w:asciiTheme="minorHAnsi" w:hAnsiTheme="minorHAnsi" w:cstheme="minorHAnsi"/>
          <w:b/>
          <w:color w:val="000000"/>
          <w:sz w:val="24"/>
          <w:szCs w:val="24"/>
        </w:rPr>
        <w:t>International CLIVAR Monsoon Project Office (ICMPO)</w:t>
      </w:r>
    </w:p>
    <w:p w14:paraId="7D87CCC5" w14:textId="7156C36D" w:rsidR="0037212A" w:rsidRDefault="0037212A" w:rsidP="00967129">
      <w:pPr>
        <w:spacing w:after="0" w:line="240" w:lineRule="auto"/>
        <w:jc w:val="both"/>
        <w:rPr>
          <w:rFonts w:asciiTheme="minorHAnsi" w:hAnsiTheme="minorHAnsi" w:cstheme="minorHAnsi"/>
          <w:b/>
          <w:color w:val="000000"/>
          <w:sz w:val="24"/>
          <w:szCs w:val="24"/>
        </w:rPr>
      </w:pPr>
    </w:p>
    <w:p w14:paraId="1FFC1352" w14:textId="27D5D8E9" w:rsidR="00881DDD" w:rsidRDefault="00881DDD" w:rsidP="00A37860">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2.1</w:t>
      </w:r>
      <w:r>
        <w:rPr>
          <w:rFonts w:asciiTheme="minorHAnsi" w:hAnsiTheme="minorHAnsi" w:cstheme="minorHAnsi"/>
          <w:color w:val="000000"/>
          <w:sz w:val="24"/>
          <w:szCs w:val="24"/>
        </w:rPr>
        <w:tab/>
        <w:t>As</w:t>
      </w:r>
      <w:r w:rsidR="00CD19B3">
        <w:rPr>
          <w:rFonts w:asciiTheme="minorHAnsi" w:hAnsiTheme="minorHAnsi" w:cstheme="minorHAnsi"/>
          <w:color w:val="000000"/>
          <w:sz w:val="24"/>
          <w:szCs w:val="24"/>
        </w:rPr>
        <w:t xml:space="preserve"> part of the initial distribution of responsibilities </w:t>
      </w:r>
      <w:r w:rsidR="005C6DA3">
        <w:rPr>
          <w:rFonts w:asciiTheme="minorHAnsi" w:hAnsiTheme="minorHAnsi" w:cstheme="minorHAnsi"/>
          <w:color w:val="000000"/>
          <w:sz w:val="24"/>
          <w:szCs w:val="24"/>
        </w:rPr>
        <w:t xml:space="preserve">amongst the ICPO partners </w:t>
      </w:r>
      <w:r w:rsidR="00431E66">
        <w:rPr>
          <w:rFonts w:asciiTheme="minorHAnsi" w:hAnsiTheme="minorHAnsi" w:cstheme="minorHAnsi"/>
          <w:color w:val="000000"/>
          <w:sz w:val="24"/>
          <w:szCs w:val="24"/>
        </w:rPr>
        <w:t xml:space="preserve">identified in </w:t>
      </w:r>
      <w:r w:rsidR="00E24F22">
        <w:rPr>
          <w:rFonts w:asciiTheme="minorHAnsi" w:hAnsiTheme="minorHAnsi" w:cstheme="minorHAnsi"/>
          <w:color w:val="000000"/>
          <w:sz w:val="24"/>
          <w:szCs w:val="24"/>
        </w:rPr>
        <w:t xml:space="preserve">Annex A of </w:t>
      </w:r>
      <w:r w:rsidR="00431E66">
        <w:rPr>
          <w:rFonts w:asciiTheme="minorHAnsi" w:hAnsiTheme="minorHAnsi" w:cstheme="minorHAnsi"/>
          <w:color w:val="000000"/>
          <w:sz w:val="24"/>
          <w:szCs w:val="24"/>
        </w:rPr>
        <w:t>the agreement between WCRP and IITM</w:t>
      </w:r>
      <w:r w:rsidR="005C6DA3">
        <w:rPr>
          <w:rFonts w:asciiTheme="minorHAnsi" w:hAnsiTheme="minorHAnsi" w:cstheme="minorHAnsi"/>
          <w:color w:val="000000"/>
          <w:sz w:val="24"/>
          <w:szCs w:val="24"/>
        </w:rPr>
        <w:t xml:space="preserve">, the following </w:t>
      </w:r>
      <w:r w:rsidR="00377601">
        <w:rPr>
          <w:rFonts w:asciiTheme="minorHAnsi" w:hAnsiTheme="minorHAnsi" w:cstheme="minorHAnsi"/>
          <w:color w:val="000000"/>
          <w:sz w:val="24"/>
          <w:szCs w:val="24"/>
        </w:rPr>
        <w:t>were</w:t>
      </w:r>
      <w:r w:rsidR="00E24F22">
        <w:rPr>
          <w:rFonts w:asciiTheme="minorHAnsi" w:hAnsiTheme="minorHAnsi" w:cstheme="minorHAnsi"/>
          <w:color w:val="000000"/>
          <w:sz w:val="24"/>
          <w:szCs w:val="24"/>
        </w:rPr>
        <w:t xml:space="preserve"> </w:t>
      </w:r>
      <w:r w:rsidR="00EA1EA0">
        <w:rPr>
          <w:rFonts w:asciiTheme="minorHAnsi" w:hAnsiTheme="minorHAnsi" w:cstheme="minorHAnsi"/>
          <w:color w:val="000000"/>
          <w:sz w:val="24"/>
          <w:szCs w:val="24"/>
        </w:rPr>
        <w:t>under the</w:t>
      </w:r>
      <w:r w:rsidR="00E24F22">
        <w:rPr>
          <w:rFonts w:asciiTheme="minorHAnsi" w:hAnsiTheme="minorHAnsi" w:cstheme="minorHAnsi"/>
          <w:color w:val="000000"/>
          <w:sz w:val="24"/>
          <w:szCs w:val="24"/>
        </w:rPr>
        <w:t xml:space="preserve"> responsibilit</w:t>
      </w:r>
      <w:r w:rsidR="00EA1EA0">
        <w:rPr>
          <w:rFonts w:asciiTheme="minorHAnsi" w:hAnsiTheme="minorHAnsi" w:cstheme="minorHAnsi"/>
          <w:color w:val="000000"/>
          <w:sz w:val="24"/>
          <w:szCs w:val="24"/>
        </w:rPr>
        <w:t>y</w:t>
      </w:r>
      <w:r w:rsidR="00E24F22">
        <w:rPr>
          <w:rFonts w:asciiTheme="minorHAnsi" w:hAnsiTheme="minorHAnsi" w:cstheme="minorHAnsi"/>
          <w:color w:val="000000"/>
          <w:sz w:val="24"/>
          <w:szCs w:val="24"/>
        </w:rPr>
        <w:t xml:space="preserve"> of the ICMPO</w:t>
      </w:r>
      <w:r w:rsidR="008865FC">
        <w:rPr>
          <w:rFonts w:asciiTheme="minorHAnsi" w:hAnsiTheme="minorHAnsi" w:cstheme="minorHAnsi"/>
          <w:color w:val="000000"/>
          <w:sz w:val="24"/>
          <w:szCs w:val="24"/>
        </w:rPr>
        <w:t xml:space="preserve"> (</w:t>
      </w:r>
      <w:r w:rsidR="009D7514">
        <w:rPr>
          <w:rFonts w:asciiTheme="minorHAnsi" w:hAnsiTheme="minorHAnsi" w:cstheme="minorHAnsi"/>
          <w:color w:val="000000"/>
          <w:sz w:val="24"/>
          <w:szCs w:val="24"/>
        </w:rPr>
        <w:t xml:space="preserve">though </w:t>
      </w:r>
      <w:r w:rsidR="00377601">
        <w:rPr>
          <w:rFonts w:asciiTheme="minorHAnsi" w:hAnsiTheme="minorHAnsi" w:cstheme="minorHAnsi"/>
          <w:color w:val="000000"/>
          <w:sz w:val="24"/>
          <w:szCs w:val="24"/>
        </w:rPr>
        <w:t>noting these have changed over time</w:t>
      </w:r>
      <w:r w:rsidR="009D7514">
        <w:rPr>
          <w:rFonts w:asciiTheme="minorHAnsi" w:hAnsiTheme="minorHAnsi" w:cstheme="minorHAnsi"/>
          <w:color w:val="000000"/>
          <w:sz w:val="24"/>
          <w:szCs w:val="24"/>
        </w:rPr>
        <w:t>)</w:t>
      </w:r>
      <w:r w:rsidR="00E24F22">
        <w:rPr>
          <w:rFonts w:asciiTheme="minorHAnsi" w:hAnsiTheme="minorHAnsi" w:cstheme="minorHAnsi"/>
          <w:color w:val="000000"/>
          <w:sz w:val="24"/>
          <w:szCs w:val="24"/>
        </w:rPr>
        <w:t>:</w:t>
      </w:r>
    </w:p>
    <w:p w14:paraId="777E0461" w14:textId="710D22C7" w:rsidR="00A37860" w:rsidRPr="00A37860" w:rsidRDefault="00A37860" w:rsidP="00882FB5">
      <w:pPr>
        <w:numPr>
          <w:ilvl w:val="0"/>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iCs/>
          <w:color w:val="000000"/>
          <w:sz w:val="24"/>
          <w:szCs w:val="24"/>
          <w:lang w:val="en-GB"/>
        </w:rPr>
        <w:t>Implementation</w:t>
      </w:r>
      <w:r w:rsidRPr="00A37860">
        <w:rPr>
          <w:rFonts w:asciiTheme="minorHAnsi" w:hAnsiTheme="minorHAnsi" w:cstheme="minorHAnsi"/>
          <w:color w:val="000000"/>
          <w:sz w:val="24"/>
          <w:szCs w:val="24"/>
        </w:rPr>
        <w:t xml:space="preserve"> of the following CLIVAR "Research Opportunities":</w:t>
      </w:r>
    </w:p>
    <w:p w14:paraId="387AE444" w14:textId="77777777" w:rsidR="00A37860" w:rsidRPr="00A37860" w:rsidRDefault="00A37860" w:rsidP="00882FB5">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iCs/>
          <w:color w:val="000000"/>
          <w:sz w:val="24"/>
          <w:szCs w:val="24"/>
          <w:lang w:val="en-GB"/>
        </w:rPr>
        <w:t>Intra</w:t>
      </w:r>
      <w:r w:rsidRPr="00A37860">
        <w:rPr>
          <w:rFonts w:asciiTheme="minorHAnsi" w:hAnsiTheme="minorHAnsi" w:cstheme="minorHAnsi"/>
          <w:color w:val="000000"/>
          <w:sz w:val="24"/>
          <w:szCs w:val="24"/>
        </w:rPr>
        <w:t>-seasonal, seasonal and interannual variability and predictability of monsoon systems, in close cooperation with the WCRP Grand Challenges on Regional Climate Information and Water Availability and all relevant WCRP modelling and other activities;</w:t>
      </w:r>
    </w:p>
    <w:p w14:paraId="5D93D540" w14:textId="77777777" w:rsidR="00A37860" w:rsidRPr="00A37860" w:rsidRDefault="00A37860" w:rsidP="00FB7ACF">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iCs/>
          <w:color w:val="000000"/>
          <w:sz w:val="24"/>
          <w:szCs w:val="24"/>
          <w:lang w:val="en-GB"/>
        </w:rPr>
        <w:t>Development</w:t>
      </w:r>
      <w:r w:rsidRPr="00A37860">
        <w:rPr>
          <w:rFonts w:asciiTheme="minorHAnsi" w:hAnsiTheme="minorHAnsi" w:cstheme="minorHAnsi"/>
          <w:color w:val="000000"/>
          <w:sz w:val="24"/>
          <w:szCs w:val="24"/>
        </w:rPr>
        <w:t xml:space="preserve"> of a CLIVAR "Research Opportunity" on links between the monsoons and the cryosphere;</w:t>
      </w:r>
    </w:p>
    <w:p w14:paraId="50D49C91" w14:textId="77777777" w:rsidR="00A37860" w:rsidRPr="00A37860" w:rsidRDefault="00A37860" w:rsidP="00FB7ACF">
      <w:pPr>
        <w:numPr>
          <w:ilvl w:val="0"/>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iCs/>
          <w:color w:val="000000"/>
          <w:sz w:val="24"/>
          <w:szCs w:val="24"/>
          <w:lang w:val="en-GB"/>
        </w:rPr>
        <w:t>Oversight</w:t>
      </w:r>
      <w:r w:rsidRPr="00A37860">
        <w:rPr>
          <w:rFonts w:asciiTheme="minorHAnsi" w:hAnsiTheme="minorHAnsi" w:cstheme="minorHAnsi"/>
          <w:color w:val="000000"/>
          <w:sz w:val="24"/>
          <w:szCs w:val="24"/>
        </w:rPr>
        <w:t xml:space="preserve"> for the following CLIVAR crosscutting "capabilities":</w:t>
      </w:r>
    </w:p>
    <w:p w14:paraId="0787532D" w14:textId="77777777" w:rsidR="00A37860" w:rsidRPr="00A37860" w:rsidRDefault="00A37860" w:rsidP="00FB7ACF">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color w:val="000000"/>
          <w:sz w:val="24"/>
          <w:szCs w:val="24"/>
        </w:rPr>
        <w:t>Improving Atmospheric observing systems</w:t>
      </w:r>
    </w:p>
    <w:p w14:paraId="6D8E996C" w14:textId="77777777" w:rsidR="00A37860" w:rsidRPr="00A37860" w:rsidRDefault="00A37860" w:rsidP="00FB7ACF">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color w:val="000000"/>
          <w:sz w:val="24"/>
          <w:szCs w:val="24"/>
        </w:rPr>
        <w:t>Monsoon Prediction and Predictability in the Coupled and Ocean, Atmospheric Models.</w:t>
      </w:r>
    </w:p>
    <w:p w14:paraId="383EA0D1" w14:textId="77777777" w:rsidR="00A37860" w:rsidRPr="00A37860" w:rsidRDefault="00A37860" w:rsidP="00581AED">
      <w:pPr>
        <w:numPr>
          <w:ilvl w:val="0"/>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iCs/>
          <w:color w:val="000000"/>
          <w:sz w:val="24"/>
          <w:szCs w:val="24"/>
          <w:lang w:val="en-GB"/>
        </w:rPr>
        <w:t>Support</w:t>
      </w:r>
      <w:r w:rsidRPr="00A37860">
        <w:rPr>
          <w:rFonts w:asciiTheme="minorHAnsi" w:hAnsiTheme="minorHAnsi" w:cstheme="minorHAnsi"/>
          <w:color w:val="000000"/>
          <w:sz w:val="24"/>
          <w:szCs w:val="24"/>
        </w:rPr>
        <w:t xml:space="preserve"> to the following CLIVAR panels:</w:t>
      </w:r>
    </w:p>
    <w:p w14:paraId="55AC5115" w14:textId="77777777" w:rsidR="00A37860" w:rsidRPr="00A37860" w:rsidRDefault="00A37860" w:rsidP="00581AED">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color w:val="000000"/>
          <w:sz w:val="24"/>
          <w:szCs w:val="24"/>
        </w:rPr>
        <w:t>Monsoons Panel (in close coordination with GEWEX)</w:t>
      </w:r>
    </w:p>
    <w:p w14:paraId="4EAF86B1" w14:textId="77777777" w:rsidR="00A37860" w:rsidRPr="00A37860" w:rsidRDefault="00A37860" w:rsidP="00581AED">
      <w:pPr>
        <w:numPr>
          <w:ilvl w:val="1"/>
          <w:numId w:val="1"/>
        </w:numPr>
        <w:spacing w:after="0" w:line="240" w:lineRule="auto"/>
        <w:jc w:val="both"/>
        <w:rPr>
          <w:rFonts w:asciiTheme="minorHAnsi" w:hAnsiTheme="minorHAnsi" w:cstheme="minorHAnsi"/>
          <w:color w:val="000000"/>
          <w:sz w:val="24"/>
          <w:szCs w:val="24"/>
        </w:rPr>
      </w:pPr>
      <w:r w:rsidRPr="00A37860">
        <w:rPr>
          <w:rFonts w:asciiTheme="minorHAnsi" w:hAnsiTheme="minorHAnsi" w:cstheme="minorHAnsi"/>
          <w:color w:val="000000"/>
          <w:sz w:val="24"/>
          <w:szCs w:val="24"/>
        </w:rPr>
        <w:t>Indian Ocean Region Panel</w:t>
      </w:r>
    </w:p>
    <w:p w14:paraId="0D1697D2" w14:textId="7648A40C" w:rsidR="00A37860" w:rsidRPr="007D009B" w:rsidRDefault="00A37860" w:rsidP="00581AED">
      <w:pPr>
        <w:numPr>
          <w:ilvl w:val="0"/>
          <w:numId w:val="1"/>
        </w:numPr>
        <w:spacing w:after="0" w:line="240" w:lineRule="auto"/>
        <w:jc w:val="both"/>
        <w:rPr>
          <w:rFonts w:asciiTheme="minorHAnsi" w:hAnsiTheme="minorHAnsi" w:cstheme="minorHAnsi"/>
          <w:iCs/>
          <w:color w:val="000000"/>
          <w:sz w:val="24"/>
          <w:szCs w:val="24"/>
          <w:lang w:val="en-GB"/>
        </w:rPr>
      </w:pPr>
      <w:r w:rsidRPr="007D009B">
        <w:rPr>
          <w:rFonts w:asciiTheme="minorHAnsi" w:hAnsiTheme="minorHAnsi" w:cstheme="minorHAnsi"/>
          <w:iCs/>
          <w:color w:val="000000"/>
          <w:sz w:val="24"/>
          <w:szCs w:val="24"/>
          <w:lang w:val="en-GB"/>
        </w:rPr>
        <w:t>Liaison with all WCRP, and other international monsoon-related activities, e.g.,</w:t>
      </w:r>
      <w:r w:rsidR="007D009B" w:rsidRPr="007D009B">
        <w:rPr>
          <w:rFonts w:asciiTheme="minorHAnsi" w:hAnsiTheme="minorHAnsi" w:cstheme="minorHAnsi"/>
          <w:iCs/>
          <w:color w:val="000000"/>
          <w:sz w:val="24"/>
          <w:szCs w:val="24"/>
          <w:lang w:val="en-GB"/>
        </w:rPr>
        <w:t xml:space="preserve"> </w:t>
      </w:r>
      <w:r w:rsidRPr="007D009B">
        <w:rPr>
          <w:rFonts w:asciiTheme="minorHAnsi" w:hAnsiTheme="minorHAnsi" w:cstheme="minorHAnsi"/>
          <w:iCs/>
          <w:color w:val="000000"/>
          <w:sz w:val="24"/>
          <w:szCs w:val="24"/>
          <w:lang w:val="en-GB"/>
        </w:rPr>
        <w:t>MAIRS;</w:t>
      </w:r>
    </w:p>
    <w:p w14:paraId="36CAF96E" w14:textId="7502D7E2" w:rsidR="00A37860" w:rsidRPr="00A37860" w:rsidRDefault="00A37860" w:rsidP="00581AED">
      <w:pPr>
        <w:numPr>
          <w:ilvl w:val="0"/>
          <w:numId w:val="1"/>
        </w:numPr>
        <w:spacing w:after="0" w:line="240" w:lineRule="auto"/>
        <w:jc w:val="both"/>
        <w:rPr>
          <w:rFonts w:asciiTheme="minorHAnsi" w:hAnsiTheme="minorHAnsi" w:cstheme="minorHAnsi"/>
          <w:iCs/>
          <w:color w:val="000000"/>
          <w:sz w:val="24"/>
          <w:szCs w:val="24"/>
          <w:lang w:val="en-GB"/>
        </w:rPr>
      </w:pPr>
      <w:r w:rsidRPr="00A37860">
        <w:rPr>
          <w:rFonts w:asciiTheme="minorHAnsi" w:hAnsiTheme="minorHAnsi" w:cstheme="minorHAnsi"/>
          <w:iCs/>
          <w:color w:val="000000"/>
          <w:sz w:val="24"/>
          <w:szCs w:val="24"/>
          <w:lang w:val="en-GB"/>
        </w:rPr>
        <w:t>Support to the Drought Interest Group</w:t>
      </w:r>
      <w:r w:rsidR="00FF3D4D">
        <w:rPr>
          <w:rFonts w:asciiTheme="minorHAnsi" w:hAnsiTheme="minorHAnsi" w:cstheme="minorHAnsi"/>
          <w:iCs/>
          <w:color w:val="000000"/>
          <w:sz w:val="24"/>
          <w:szCs w:val="24"/>
          <w:lang w:val="en-GB"/>
        </w:rPr>
        <w:t>;</w:t>
      </w:r>
    </w:p>
    <w:p w14:paraId="23CFB5E6" w14:textId="0920F962" w:rsidR="00A37860" w:rsidRPr="00A37860" w:rsidRDefault="00A37860" w:rsidP="00581AED">
      <w:pPr>
        <w:numPr>
          <w:ilvl w:val="0"/>
          <w:numId w:val="1"/>
        </w:numPr>
        <w:spacing w:after="0" w:line="240" w:lineRule="auto"/>
        <w:jc w:val="both"/>
        <w:rPr>
          <w:rFonts w:asciiTheme="minorHAnsi" w:hAnsiTheme="minorHAnsi" w:cstheme="minorHAnsi"/>
          <w:iCs/>
          <w:color w:val="000000"/>
          <w:sz w:val="24"/>
          <w:szCs w:val="24"/>
          <w:lang w:val="en-GB"/>
        </w:rPr>
      </w:pPr>
      <w:r w:rsidRPr="00A37860">
        <w:rPr>
          <w:rFonts w:asciiTheme="minorHAnsi" w:hAnsiTheme="minorHAnsi" w:cstheme="minorHAnsi"/>
          <w:iCs/>
          <w:color w:val="000000"/>
          <w:sz w:val="24"/>
          <w:szCs w:val="24"/>
          <w:lang w:val="en-GB"/>
        </w:rPr>
        <w:t>Support to ETCCDI (in close coordination with GEWEX and WMO CCI)</w:t>
      </w:r>
      <w:r w:rsidR="00FF3D4D">
        <w:rPr>
          <w:rFonts w:asciiTheme="minorHAnsi" w:hAnsiTheme="minorHAnsi" w:cstheme="minorHAnsi"/>
          <w:iCs/>
          <w:color w:val="000000"/>
          <w:sz w:val="24"/>
          <w:szCs w:val="24"/>
          <w:lang w:val="en-GB"/>
        </w:rPr>
        <w:t>;</w:t>
      </w:r>
    </w:p>
    <w:p w14:paraId="28941593" w14:textId="510BD6E1" w:rsidR="00A37860" w:rsidRPr="00BB744A" w:rsidRDefault="00A37860" w:rsidP="00123FBF">
      <w:pPr>
        <w:numPr>
          <w:ilvl w:val="0"/>
          <w:numId w:val="1"/>
        </w:numPr>
        <w:spacing w:after="0" w:line="240" w:lineRule="auto"/>
        <w:jc w:val="both"/>
        <w:rPr>
          <w:rFonts w:asciiTheme="minorHAnsi" w:hAnsiTheme="minorHAnsi" w:cstheme="minorHAnsi"/>
          <w:color w:val="000000"/>
          <w:sz w:val="24"/>
          <w:szCs w:val="24"/>
        </w:rPr>
      </w:pPr>
      <w:r w:rsidRPr="00123FBF">
        <w:rPr>
          <w:rFonts w:asciiTheme="minorHAnsi" w:hAnsiTheme="minorHAnsi" w:cstheme="minorHAnsi"/>
          <w:iCs/>
          <w:color w:val="000000"/>
          <w:sz w:val="24"/>
          <w:szCs w:val="24"/>
          <w:lang w:val="en-GB"/>
        </w:rPr>
        <w:t>Support</w:t>
      </w:r>
      <w:r w:rsidRPr="00BB744A">
        <w:rPr>
          <w:rFonts w:asciiTheme="minorHAnsi" w:hAnsiTheme="minorHAnsi" w:cstheme="minorHAnsi"/>
          <w:color w:val="000000"/>
          <w:sz w:val="24"/>
          <w:szCs w:val="24"/>
        </w:rPr>
        <w:t xml:space="preserve"> to the Executive Director</w:t>
      </w:r>
      <w:r w:rsidR="00FF3D4D">
        <w:rPr>
          <w:rFonts w:asciiTheme="minorHAnsi" w:hAnsiTheme="minorHAnsi" w:cstheme="minorHAnsi"/>
          <w:color w:val="000000"/>
          <w:sz w:val="24"/>
          <w:szCs w:val="24"/>
        </w:rPr>
        <w:t>.</w:t>
      </w:r>
    </w:p>
    <w:p w14:paraId="7BF0B898" w14:textId="77777777" w:rsidR="00A37860" w:rsidRDefault="00A37860" w:rsidP="00967129">
      <w:pPr>
        <w:spacing w:after="0" w:line="240" w:lineRule="auto"/>
        <w:jc w:val="both"/>
        <w:rPr>
          <w:rFonts w:asciiTheme="minorHAnsi" w:hAnsiTheme="minorHAnsi" w:cstheme="minorHAnsi"/>
          <w:b/>
          <w:color w:val="000000"/>
          <w:sz w:val="24"/>
          <w:szCs w:val="24"/>
        </w:rPr>
      </w:pPr>
    </w:p>
    <w:p w14:paraId="5CD48E6D" w14:textId="722C5659" w:rsidR="00267736" w:rsidRDefault="006D7167" w:rsidP="00967129">
      <w:pPr>
        <w:spacing w:after="0" w:line="240" w:lineRule="auto"/>
        <w:jc w:val="both"/>
        <w:rPr>
          <w:rStyle w:val="PageNumber"/>
          <w:rFonts w:asciiTheme="minorHAnsi" w:hAnsiTheme="minorHAnsi" w:cstheme="minorHAnsi"/>
          <w:sz w:val="24"/>
          <w:szCs w:val="24"/>
          <w:lang w:val="en-GB"/>
        </w:rPr>
      </w:pPr>
      <w:r>
        <w:rPr>
          <w:rStyle w:val="PageNumber"/>
          <w:rFonts w:asciiTheme="minorHAnsi" w:hAnsiTheme="minorHAnsi" w:cstheme="minorHAnsi"/>
          <w:sz w:val="24"/>
          <w:szCs w:val="24"/>
          <w:lang w:val="en-GB"/>
        </w:rPr>
        <w:t>2.2</w:t>
      </w:r>
      <w:r>
        <w:rPr>
          <w:rStyle w:val="PageNumber"/>
          <w:rFonts w:asciiTheme="minorHAnsi" w:hAnsiTheme="minorHAnsi" w:cstheme="minorHAnsi"/>
          <w:sz w:val="24"/>
          <w:szCs w:val="24"/>
          <w:lang w:val="en-GB"/>
        </w:rPr>
        <w:tab/>
      </w:r>
      <w:r w:rsidRPr="006D7167">
        <w:rPr>
          <w:rStyle w:val="PageNumber"/>
          <w:rFonts w:asciiTheme="minorHAnsi" w:hAnsiTheme="minorHAnsi" w:cstheme="minorHAnsi"/>
          <w:sz w:val="24"/>
          <w:szCs w:val="24"/>
          <w:lang w:val="en-GB"/>
        </w:rPr>
        <w:t>As part of the IITM-WCRP Agreement, IITM has agreed to provide (</w:t>
      </w:r>
      <w:proofErr w:type="spellStart"/>
      <w:r w:rsidRPr="006D7167">
        <w:rPr>
          <w:rStyle w:val="PageNumber"/>
          <w:rFonts w:asciiTheme="minorHAnsi" w:hAnsiTheme="minorHAnsi" w:cstheme="minorHAnsi"/>
          <w:sz w:val="24"/>
          <w:szCs w:val="24"/>
          <w:lang w:val="en-GB"/>
        </w:rPr>
        <w:t>i</w:t>
      </w:r>
      <w:proofErr w:type="spellEnd"/>
      <w:r w:rsidRPr="006D7167">
        <w:rPr>
          <w:rStyle w:val="PageNumber"/>
          <w:rFonts w:asciiTheme="minorHAnsi" w:hAnsiTheme="minorHAnsi" w:cstheme="minorHAnsi"/>
          <w:sz w:val="24"/>
          <w:szCs w:val="24"/>
          <w:lang w:val="en-GB"/>
        </w:rPr>
        <w:t>) salaries and allowances for the Executive Director of ICMPO, two scientists and two secretarial staff; (ii) official travel support including 2/3 trips abroad for the Executive Director and 2 visits of ICPO Executive Director to IITM; (iii) office infrastructure and facilities to all ICMPO staff; (iv) support to preparation of newsletters and hosting of web pages; (v) meeting arrangement expenses (if held in India) except travel of non-ICMPO staff; and (vi) hosting of CLIVAR Scientific Steering Group (SSG) meetings on rotational basis with other ICPO nodes.</w:t>
      </w:r>
    </w:p>
    <w:p w14:paraId="29F9912A" w14:textId="6642C369" w:rsidR="007021EA" w:rsidRDefault="007021EA" w:rsidP="00967129">
      <w:pPr>
        <w:spacing w:after="0" w:line="240" w:lineRule="auto"/>
        <w:jc w:val="both"/>
        <w:rPr>
          <w:rStyle w:val="PageNumber"/>
          <w:rFonts w:asciiTheme="minorHAnsi" w:hAnsiTheme="minorHAnsi" w:cstheme="minorHAnsi"/>
          <w:sz w:val="24"/>
          <w:szCs w:val="24"/>
          <w:lang w:val="en-GB"/>
        </w:rPr>
      </w:pPr>
    </w:p>
    <w:p w14:paraId="2DFC816C" w14:textId="55F368C3" w:rsidR="009E563F" w:rsidRPr="009E563F" w:rsidRDefault="009E563F" w:rsidP="009E563F">
      <w:pPr>
        <w:spacing w:after="0" w:line="240" w:lineRule="auto"/>
        <w:jc w:val="both"/>
        <w:rPr>
          <w:rFonts w:asciiTheme="minorHAnsi" w:hAnsiTheme="minorHAnsi" w:cstheme="minorHAnsi"/>
          <w:color w:val="000000"/>
          <w:sz w:val="24"/>
          <w:szCs w:val="24"/>
        </w:rPr>
      </w:pPr>
      <w:r w:rsidRPr="009E563F">
        <w:rPr>
          <w:rFonts w:asciiTheme="minorHAnsi" w:hAnsiTheme="minorHAnsi" w:cstheme="minorHAnsi"/>
          <w:color w:val="000000"/>
          <w:sz w:val="24"/>
          <w:szCs w:val="24"/>
        </w:rPr>
        <w:t>2.</w:t>
      </w:r>
      <w:r w:rsidR="007E433A">
        <w:rPr>
          <w:rFonts w:asciiTheme="minorHAnsi" w:hAnsiTheme="minorHAnsi" w:cstheme="minorHAnsi"/>
          <w:color w:val="000000"/>
          <w:sz w:val="24"/>
          <w:szCs w:val="24"/>
        </w:rPr>
        <w:t>3</w:t>
      </w:r>
      <w:r w:rsidRPr="009E563F">
        <w:rPr>
          <w:rFonts w:asciiTheme="minorHAnsi" w:hAnsiTheme="minorHAnsi" w:cstheme="minorHAnsi"/>
          <w:color w:val="000000"/>
          <w:sz w:val="24"/>
          <w:szCs w:val="24"/>
        </w:rPr>
        <w:tab/>
        <w:t xml:space="preserve">ICMPO </w:t>
      </w:r>
      <w:r w:rsidR="00DE46BD">
        <w:rPr>
          <w:rFonts w:asciiTheme="minorHAnsi" w:hAnsiTheme="minorHAnsi" w:cstheme="minorHAnsi"/>
          <w:color w:val="000000"/>
          <w:sz w:val="24"/>
          <w:szCs w:val="24"/>
        </w:rPr>
        <w:t>is currently staffed by the following p</w:t>
      </w:r>
      <w:r w:rsidRPr="009E563F">
        <w:rPr>
          <w:rFonts w:asciiTheme="minorHAnsi" w:hAnsiTheme="minorHAnsi" w:cstheme="minorHAnsi"/>
          <w:color w:val="000000"/>
          <w:sz w:val="24"/>
          <w:szCs w:val="24"/>
        </w:rPr>
        <w:t>ersonnel</w:t>
      </w:r>
      <w:r w:rsidR="00DE46BD">
        <w:rPr>
          <w:rFonts w:asciiTheme="minorHAnsi" w:hAnsiTheme="minorHAnsi" w:cstheme="minorHAnsi"/>
          <w:color w:val="000000"/>
          <w:sz w:val="24"/>
          <w:szCs w:val="24"/>
        </w:rPr>
        <w:t>:</w:t>
      </w:r>
    </w:p>
    <w:p w14:paraId="4AFDD4B1" w14:textId="78A9B663" w:rsidR="009E563F" w:rsidRPr="00DE46BD" w:rsidRDefault="009E563F" w:rsidP="00DE46BD">
      <w:pPr>
        <w:pStyle w:val="ListParagraph"/>
        <w:numPr>
          <w:ilvl w:val="0"/>
          <w:numId w:val="10"/>
        </w:numPr>
        <w:spacing w:after="0" w:line="240" w:lineRule="auto"/>
        <w:ind w:left="709" w:hanging="349"/>
        <w:jc w:val="both"/>
        <w:rPr>
          <w:rFonts w:asciiTheme="minorHAnsi" w:hAnsiTheme="minorHAnsi" w:cstheme="minorHAnsi"/>
          <w:color w:val="000000"/>
          <w:sz w:val="24"/>
          <w:szCs w:val="24"/>
        </w:rPr>
      </w:pPr>
      <w:r w:rsidRPr="00DE46BD">
        <w:rPr>
          <w:rFonts w:asciiTheme="minorHAnsi" w:hAnsiTheme="minorHAnsi" w:cstheme="minorHAnsi"/>
          <w:color w:val="000000"/>
          <w:sz w:val="24"/>
          <w:szCs w:val="24"/>
        </w:rPr>
        <w:t>Dr Rupakumar Kolli, Executive Director (since 22nd October 2019)</w:t>
      </w:r>
      <w:r w:rsidR="005E3E27">
        <w:rPr>
          <w:rFonts w:asciiTheme="minorHAnsi" w:hAnsiTheme="minorHAnsi" w:cstheme="minorHAnsi"/>
          <w:color w:val="000000"/>
          <w:sz w:val="24"/>
          <w:szCs w:val="24"/>
        </w:rPr>
        <w:t>;</w:t>
      </w:r>
    </w:p>
    <w:p w14:paraId="06D55695" w14:textId="1B635717" w:rsidR="009E563F" w:rsidRPr="00DE46BD" w:rsidRDefault="009E563F" w:rsidP="00DE46BD">
      <w:pPr>
        <w:pStyle w:val="ListParagraph"/>
        <w:numPr>
          <w:ilvl w:val="0"/>
          <w:numId w:val="10"/>
        </w:numPr>
        <w:spacing w:after="0" w:line="240" w:lineRule="auto"/>
        <w:ind w:left="709" w:hanging="349"/>
        <w:jc w:val="both"/>
        <w:rPr>
          <w:rFonts w:asciiTheme="minorHAnsi" w:hAnsiTheme="minorHAnsi" w:cstheme="minorHAnsi"/>
          <w:color w:val="000000"/>
          <w:sz w:val="24"/>
          <w:szCs w:val="24"/>
        </w:rPr>
      </w:pPr>
      <w:r w:rsidRPr="00DE46BD">
        <w:rPr>
          <w:rFonts w:asciiTheme="minorHAnsi" w:hAnsiTheme="minorHAnsi" w:cstheme="minorHAnsi"/>
          <w:color w:val="000000"/>
          <w:sz w:val="24"/>
          <w:szCs w:val="24"/>
        </w:rPr>
        <w:t>Dr Ashwini Kulkarni, Senior Scientist;</w:t>
      </w:r>
    </w:p>
    <w:p w14:paraId="41674228" w14:textId="24B08F2E" w:rsidR="009E563F" w:rsidRPr="00DE46BD" w:rsidRDefault="009E563F" w:rsidP="00DE46BD">
      <w:pPr>
        <w:pStyle w:val="ListParagraph"/>
        <w:numPr>
          <w:ilvl w:val="0"/>
          <w:numId w:val="10"/>
        </w:numPr>
        <w:spacing w:after="0" w:line="240" w:lineRule="auto"/>
        <w:ind w:left="709" w:hanging="349"/>
        <w:jc w:val="both"/>
        <w:rPr>
          <w:rFonts w:asciiTheme="minorHAnsi" w:hAnsiTheme="minorHAnsi" w:cstheme="minorHAnsi"/>
          <w:color w:val="000000"/>
          <w:sz w:val="24"/>
          <w:szCs w:val="24"/>
        </w:rPr>
      </w:pPr>
      <w:r w:rsidRPr="00DE46BD">
        <w:rPr>
          <w:rFonts w:asciiTheme="minorHAnsi" w:hAnsiTheme="minorHAnsi" w:cstheme="minorHAnsi"/>
          <w:color w:val="000000"/>
          <w:sz w:val="24"/>
          <w:szCs w:val="24"/>
        </w:rPr>
        <w:t>Mr. Somnath Mahapatra, Senior Scientist;</w:t>
      </w:r>
    </w:p>
    <w:p w14:paraId="0E921EBC" w14:textId="330F60F2" w:rsidR="00D637F6" w:rsidRPr="00DE46BD" w:rsidRDefault="009E563F" w:rsidP="00DE46BD">
      <w:pPr>
        <w:pStyle w:val="ListParagraph"/>
        <w:numPr>
          <w:ilvl w:val="0"/>
          <w:numId w:val="10"/>
        </w:numPr>
        <w:spacing w:after="0" w:line="240" w:lineRule="auto"/>
        <w:ind w:left="709" w:hanging="349"/>
        <w:jc w:val="both"/>
        <w:rPr>
          <w:rFonts w:asciiTheme="minorHAnsi" w:hAnsiTheme="minorHAnsi" w:cstheme="minorHAnsi"/>
          <w:color w:val="000000"/>
          <w:sz w:val="24"/>
          <w:szCs w:val="24"/>
        </w:rPr>
      </w:pPr>
      <w:r w:rsidRPr="00DE46BD">
        <w:rPr>
          <w:rFonts w:asciiTheme="minorHAnsi" w:hAnsiTheme="minorHAnsi" w:cstheme="minorHAnsi"/>
          <w:color w:val="000000"/>
          <w:sz w:val="24"/>
          <w:szCs w:val="24"/>
        </w:rPr>
        <w:t xml:space="preserve">Mr. Sandeep </w:t>
      </w:r>
      <w:proofErr w:type="spellStart"/>
      <w:r w:rsidRPr="00DE46BD">
        <w:rPr>
          <w:rFonts w:asciiTheme="minorHAnsi" w:hAnsiTheme="minorHAnsi" w:cstheme="minorHAnsi"/>
          <w:color w:val="000000"/>
          <w:sz w:val="24"/>
          <w:szCs w:val="24"/>
        </w:rPr>
        <w:t>Sukhdeve</w:t>
      </w:r>
      <w:proofErr w:type="spellEnd"/>
      <w:r w:rsidRPr="00DE46BD">
        <w:rPr>
          <w:rFonts w:asciiTheme="minorHAnsi" w:hAnsiTheme="minorHAnsi" w:cstheme="minorHAnsi"/>
          <w:color w:val="000000"/>
          <w:sz w:val="24"/>
          <w:szCs w:val="24"/>
        </w:rPr>
        <w:t>, Assistant Engineer (IT) (since 10 July 2019).</w:t>
      </w:r>
    </w:p>
    <w:p w14:paraId="569D464D" w14:textId="77777777" w:rsidR="009E563F" w:rsidRDefault="009E563F" w:rsidP="009E563F">
      <w:pPr>
        <w:spacing w:after="0" w:line="240" w:lineRule="auto"/>
        <w:jc w:val="both"/>
        <w:rPr>
          <w:rFonts w:asciiTheme="minorHAnsi" w:hAnsiTheme="minorHAnsi" w:cstheme="minorHAnsi"/>
          <w:b/>
          <w:color w:val="000000"/>
          <w:sz w:val="24"/>
          <w:szCs w:val="24"/>
        </w:rPr>
      </w:pPr>
    </w:p>
    <w:p w14:paraId="6168E2CF" w14:textId="3CFDD0DB" w:rsidR="00A95A8D" w:rsidRPr="0071132D" w:rsidRDefault="005248AC" w:rsidP="00967129">
      <w:pPr>
        <w:spacing w:after="0" w:line="240"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t>3.</w:t>
      </w:r>
      <w:r>
        <w:rPr>
          <w:rFonts w:asciiTheme="minorHAnsi" w:hAnsiTheme="minorHAnsi" w:cstheme="minorHAnsi"/>
          <w:b/>
          <w:color w:val="000000"/>
          <w:sz w:val="24"/>
          <w:szCs w:val="24"/>
        </w:rPr>
        <w:tab/>
      </w:r>
      <w:r w:rsidR="00A95A8D" w:rsidRPr="0071132D">
        <w:rPr>
          <w:rFonts w:asciiTheme="minorHAnsi" w:hAnsiTheme="minorHAnsi" w:cstheme="minorHAnsi"/>
          <w:b/>
          <w:color w:val="000000"/>
          <w:sz w:val="24"/>
          <w:szCs w:val="24"/>
        </w:rPr>
        <w:t xml:space="preserve">Advantages of </w:t>
      </w:r>
      <w:r w:rsidR="002B347E" w:rsidRPr="0071132D">
        <w:rPr>
          <w:rFonts w:asciiTheme="minorHAnsi" w:hAnsiTheme="minorHAnsi" w:cstheme="minorHAnsi"/>
          <w:b/>
          <w:color w:val="000000"/>
          <w:sz w:val="24"/>
          <w:szCs w:val="24"/>
        </w:rPr>
        <w:t>Hosting ICMPO at IITM</w:t>
      </w:r>
    </w:p>
    <w:p w14:paraId="37694FAD" w14:textId="77777777" w:rsidR="0078114A" w:rsidRDefault="0078114A" w:rsidP="00967129">
      <w:pPr>
        <w:spacing w:after="0" w:line="240" w:lineRule="auto"/>
        <w:jc w:val="both"/>
        <w:rPr>
          <w:rFonts w:asciiTheme="minorHAnsi" w:hAnsiTheme="minorHAnsi" w:cstheme="minorHAnsi"/>
          <w:color w:val="000000"/>
          <w:sz w:val="24"/>
          <w:szCs w:val="24"/>
        </w:rPr>
      </w:pPr>
    </w:p>
    <w:p w14:paraId="6B3BAB43" w14:textId="136A0999" w:rsidR="0078114A" w:rsidRDefault="00840125" w:rsidP="00967129">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3.1</w:t>
      </w:r>
      <w:r w:rsidR="00FE538F">
        <w:rPr>
          <w:rFonts w:asciiTheme="minorHAnsi" w:hAnsiTheme="minorHAnsi" w:cstheme="minorHAnsi"/>
          <w:color w:val="000000"/>
          <w:sz w:val="24"/>
          <w:szCs w:val="24"/>
        </w:rPr>
        <w:tab/>
      </w:r>
      <w:r w:rsidR="00FE538F" w:rsidRPr="00FE538F">
        <w:rPr>
          <w:rFonts w:asciiTheme="minorHAnsi" w:hAnsiTheme="minorHAnsi" w:cstheme="minorHAnsi"/>
          <w:color w:val="000000"/>
          <w:sz w:val="24"/>
          <w:szCs w:val="24"/>
        </w:rPr>
        <w:t xml:space="preserve">The Indian summer (southwest) monsoon is referred </w:t>
      </w:r>
      <w:r w:rsidR="00FE538F">
        <w:rPr>
          <w:rFonts w:asciiTheme="minorHAnsi" w:hAnsiTheme="minorHAnsi" w:cstheme="minorHAnsi"/>
          <w:color w:val="000000"/>
          <w:sz w:val="24"/>
          <w:szCs w:val="24"/>
        </w:rPr>
        <w:t xml:space="preserve">to </w:t>
      </w:r>
      <w:r w:rsidR="00FE538F" w:rsidRPr="00FE538F">
        <w:rPr>
          <w:rFonts w:asciiTheme="minorHAnsi" w:hAnsiTheme="minorHAnsi" w:cstheme="minorHAnsi"/>
          <w:color w:val="000000"/>
          <w:sz w:val="24"/>
          <w:szCs w:val="24"/>
        </w:rPr>
        <w:t>as</w:t>
      </w:r>
      <w:r w:rsidR="00FE538F">
        <w:rPr>
          <w:rFonts w:asciiTheme="minorHAnsi" w:hAnsiTheme="minorHAnsi" w:cstheme="minorHAnsi"/>
          <w:color w:val="000000"/>
          <w:sz w:val="24"/>
          <w:szCs w:val="24"/>
        </w:rPr>
        <w:t xml:space="preserve"> the</w:t>
      </w:r>
      <w:r w:rsidR="00FE538F" w:rsidRPr="00FE538F">
        <w:rPr>
          <w:rFonts w:asciiTheme="minorHAnsi" w:hAnsiTheme="minorHAnsi" w:cstheme="minorHAnsi"/>
          <w:color w:val="000000"/>
          <w:sz w:val="24"/>
          <w:szCs w:val="24"/>
        </w:rPr>
        <w:t xml:space="preserve"> lifeline of India, as </w:t>
      </w:r>
      <w:r w:rsidR="00FE538F">
        <w:rPr>
          <w:rFonts w:asciiTheme="minorHAnsi" w:hAnsiTheme="minorHAnsi" w:cstheme="minorHAnsi"/>
          <w:color w:val="000000"/>
          <w:sz w:val="24"/>
          <w:szCs w:val="24"/>
        </w:rPr>
        <w:t>v</w:t>
      </w:r>
      <w:r w:rsidR="00FE538F" w:rsidRPr="00FE538F">
        <w:rPr>
          <w:rFonts w:asciiTheme="minorHAnsi" w:hAnsiTheme="minorHAnsi" w:cstheme="minorHAnsi"/>
          <w:color w:val="000000"/>
          <w:sz w:val="24"/>
          <w:szCs w:val="24"/>
        </w:rPr>
        <w:t>ariability in any of its aspects (onset, withdrawal</w:t>
      </w:r>
      <w:r w:rsidR="00023F6A">
        <w:rPr>
          <w:rFonts w:asciiTheme="minorHAnsi" w:hAnsiTheme="minorHAnsi" w:cstheme="minorHAnsi"/>
          <w:color w:val="000000"/>
          <w:sz w:val="24"/>
          <w:szCs w:val="24"/>
        </w:rPr>
        <w:t>,</w:t>
      </w:r>
      <w:r w:rsidR="00FE538F" w:rsidRPr="00FE538F">
        <w:rPr>
          <w:rFonts w:asciiTheme="minorHAnsi" w:hAnsiTheme="minorHAnsi" w:cstheme="minorHAnsi"/>
          <w:color w:val="000000"/>
          <w:sz w:val="24"/>
          <w:szCs w:val="24"/>
        </w:rPr>
        <w:t xml:space="preserve"> quantum </w:t>
      </w:r>
      <w:r w:rsidR="00023F6A">
        <w:rPr>
          <w:rFonts w:asciiTheme="minorHAnsi" w:hAnsiTheme="minorHAnsi" w:cstheme="minorHAnsi"/>
          <w:color w:val="000000"/>
          <w:sz w:val="24"/>
          <w:szCs w:val="24"/>
        </w:rPr>
        <w:t xml:space="preserve">and </w:t>
      </w:r>
      <w:r w:rsidR="00210E25">
        <w:rPr>
          <w:rFonts w:asciiTheme="minorHAnsi" w:hAnsiTheme="minorHAnsi" w:cstheme="minorHAnsi"/>
          <w:color w:val="000000"/>
          <w:sz w:val="24"/>
          <w:szCs w:val="24"/>
        </w:rPr>
        <w:t xml:space="preserve">space-time distribution </w:t>
      </w:r>
      <w:r w:rsidR="00FE538F" w:rsidRPr="00FE538F">
        <w:rPr>
          <w:rFonts w:asciiTheme="minorHAnsi" w:hAnsiTheme="minorHAnsi" w:cstheme="minorHAnsi"/>
          <w:color w:val="000000"/>
          <w:sz w:val="24"/>
          <w:szCs w:val="24"/>
        </w:rPr>
        <w:t>of rainfall) greatly influences the agriculture, economy, water resources, power generation</w:t>
      </w:r>
      <w:r w:rsidR="00CF3E86">
        <w:rPr>
          <w:rFonts w:asciiTheme="minorHAnsi" w:hAnsiTheme="minorHAnsi" w:cstheme="minorHAnsi"/>
          <w:color w:val="000000"/>
          <w:sz w:val="24"/>
          <w:szCs w:val="24"/>
        </w:rPr>
        <w:t>,</w:t>
      </w:r>
      <w:r w:rsidR="00FE538F" w:rsidRPr="00FE538F">
        <w:rPr>
          <w:rFonts w:asciiTheme="minorHAnsi" w:hAnsiTheme="minorHAnsi" w:cstheme="minorHAnsi"/>
          <w:color w:val="000000"/>
          <w:sz w:val="24"/>
          <w:szCs w:val="24"/>
        </w:rPr>
        <w:t xml:space="preserve"> ecosystem</w:t>
      </w:r>
      <w:r w:rsidR="00CF3E86">
        <w:rPr>
          <w:rFonts w:asciiTheme="minorHAnsi" w:hAnsiTheme="minorHAnsi" w:cstheme="minorHAnsi"/>
          <w:color w:val="000000"/>
          <w:sz w:val="24"/>
          <w:szCs w:val="24"/>
        </w:rPr>
        <w:t xml:space="preserve"> and every walk of life</w:t>
      </w:r>
      <w:r w:rsidR="00FE538F" w:rsidRPr="00FE538F">
        <w:rPr>
          <w:rFonts w:asciiTheme="minorHAnsi" w:hAnsiTheme="minorHAnsi" w:cstheme="minorHAnsi"/>
          <w:color w:val="000000"/>
          <w:sz w:val="24"/>
          <w:szCs w:val="24"/>
        </w:rPr>
        <w:t xml:space="preserve">. </w:t>
      </w:r>
      <w:r w:rsidR="00276EB3">
        <w:rPr>
          <w:rFonts w:asciiTheme="minorHAnsi" w:hAnsiTheme="minorHAnsi" w:cstheme="minorHAnsi"/>
          <w:color w:val="000000"/>
          <w:sz w:val="24"/>
          <w:szCs w:val="24"/>
        </w:rPr>
        <w:t xml:space="preserve"> Understanding and predicting </w:t>
      </w:r>
      <w:r w:rsidR="00FE538F" w:rsidRPr="00FE538F">
        <w:rPr>
          <w:rFonts w:asciiTheme="minorHAnsi" w:hAnsiTheme="minorHAnsi" w:cstheme="minorHAnsi"/>
          <w:color w:val="000000"/>
          <w:sz w:val="24"/>
          <w:szCs w:val="24"/>
        </w:rPr>
        <w:t xml:space="preserve">the variations in monsoon rainfall </w:t>
      </w:r>
      <w:r w:rsidR="00276EB3">
        <w:rPr>
          <w:rFonts w:asciiTheme="minorHAnsi" w:hAnsiTheme="minorHAnsi" w:cstheme="minorHAnsi"/>
          <w:color w:val="000000"/>
          <w:sz w:val="24"/>
          <w:szCs w:val="24"/>
        </w:rPr>
        <w:t>can help</w:t>
      </w:r>
      <w:r w:rsidR="00FE538F" w:rsidRPr="00FE538F">
        <w:rPr>
          <w:rFonts w:asciiTheme="minorHAnsi" w:hAnsiTheme="minorHAnsi" w:cstheme="minorHAnsi"/>
          <w:color w:val="000000"/>
          <w:sz w:val="24"/>
          <w:szCs w:val="24"/>
        </w:rPr>
        <w:t xml:space="preserve"> reduce the adverse impacts related to </w:t>
      </w:r>
      <w:r w:rsidR="0003110C">
        <w:rPr>
          <w:rFonts w:asciiTheme="minorHAnsi" w:hAnsiTheme="minorHAnsi" w:cstheme="minorHAnsi"/>
          <w:color w:val="000000"/>
          <w:sz w:val="24"/>
          <w:szCs w:val="24"/>
        </w:rPr>
        <w:t>extreme</w:t>
      </w:r>
      <w:r w:rsidR="00732825">
        <w:rPr>
          <w:rFonts w:asciiTheme="minorHAnsi" w:hAnsiTheme="minorHAnsi" w:cstheme="minorHAnsi"/>
          <w:color w:val="000000"/>
          <w:sz w:val="24"/>
          <w:szCs w:val="24"/>
        </w:rPr>
        <w:t xml:space="preserve"> anomalies often leading to large-scale</w:t>
      </w:r>
      <w:r w:rsidR="00FE538F" w:rsidRPr="00FE538F">
        <w:rPr>
          <w:rFonts w:asciiTheme="minorHAnsi" w:hAnsiTheme="minorHAnsi" w:cstheme="minorHAnsi"/>
          <w:color w:val="000000"/>
          <w:sz w:val="24"/>
          <w:szCs w:val="24"/>
        </w:rPr>
        <w:t xml:space="preserve"> droughts and floods. </w:t>
      </w:r>
      <w:r w:rsidR="0072209D">
        <w:rPr>
          <w:rFonts w:asciiTheme="minorHAnsi" w:hAnsiTheme="minorHAnsi" w:cstheme="minorHAnsi"/>
          <w:color w:val="000000"/>
          <w:sz w:val="24"/>
          <w:szCs w:val="24"/>
        </w:rPr>
        <w:t>Reliable</w:t>
      </w:r>
      <w:r w:rsidR="00FE538F" w:rsidRPr="00FE538F">
        <w:rPr>
          <w:rFonts w:asciiTheme="minorHAnsi" w:hAnsiTheme="minorHAnsi" w:cstheme="minorHAnsi"/>
          <w:color w:val="000000"/>
          <w:sz w:val="24"/>
          <w:szCs w:val="24"/>
        </w:rPr>
        <w:t xml:space="preserve"> prediction of monsoon rainfall is </w:t>
      </w:r>
      <w:r w:rsidR="0072209D">
        <w:rPr>
          <w:rFonts w:asciiTheme="minorHAnsi" w:hAnsiTheme="minorHAnsi" w:cstheme="minorHAnsi"/>
          <w:color w:val="000000"/>
          <w:sz w:val="24"/>
          <w:szCs w:val="24"/>
        </w:rPr>
        <w:t xml:space="preserve">thus </w:t>
      </w:r>
      <w:r w:rsidR="00FE538F" w:rsidRPr="00FE538F">
        <w:rPr>
          <w:rFonts w:asciiTheme="minorHAnsi" w:hAnsiTheme="minorHAnsi" w:cstheme="minorHAnsi"/>
          <w:color w:val="000000"/>
          <w:sz w:val="24"/>
          <w:szCs w:val="24"/>
        </w:rPr>
        <w:t xml:space="preserve">a basic need for the nation but remained a challenge over the decades. </w:t>
      </w:r>
      <w:r w:rsidR="00E84FAD">
        <w:rPr>
          <w:rFonts w:asciiTheme="minorHAnsi" w:hAnsiTheme="minorHAnsi" w:cstheme="minorHAnsi"/>
          <w:color w:val="000000"/>
          <w:sz w:val="24"/>
          <w:szCs w:val="24"/>
        </w:rPr>
        <w:t xml:space="preserve">There is a large and thriving community of </w:t>
      </w:r>
      <w:r w:rsidR="00571098">
        <w:rPr>
          <w:rFonts w:asciiTheme="minorHAnsi" w:hAnsiTheme="minorHAnsi" w:cstheme="minorHAnsi"/>
          <w:color w:val="000000"/>
          <w:sz w:val="24"/>
          <w:szCs w:val="24"/>
        </w:rPr>
        <w:t>scientists and institutions with international reputation</w:t>
      </w:r>
      <w:r w:rsidR="00066EF3">
        <w:rPr>
          <w:rFonts w:asciiTheme="minorHAnsi" w:hAnsiTheme="minorHAnsi" w:cstheme="minorHAnsi"/>
          <w:color w:val="000000"/>
          <w:sz w:val="24"/>
          <w:szCs w:val="24"/>
        </w:rPr>
        <w:t xml:space="preserve"> </w:t>
      </w:r>
      <w:r w:rsidR="001132A5">
        <w:rPr>
          <w:rFonts w:asciiTheme="minorHAnsi" w:hAnsiTheme="minorHAnsi" w:cstheme="minorHAnsi"/>
          <w:color w:val="000000"/>
          <w:sz w:val="24"/>
          <w:szCs w:val="24"/>
        </w:rPr>
        <w:t>highly motivated in</w:t>
      </w:r>
      <w:r w:rsidR="00506B1D">
        <w:rPr>
          <w:rFonts w:asciiTheme="minorHAnsi" w:hAnsiTheme="minorHAnsi" w:cstheme="minorHAnsi"/>
          <w:color w:val="000000"/>
          <w:sz w:val="24"/>
          <w:szCs w:val="24"/>
        </w:rPr>
        <w:t xml:space="preserve"> improving</w:t>
      </w:r>
      <w:r w:rsidR="00FE538F" w:rsidRPr="00FE538F">
        <w:rPr>
          <w:rFonts w:asciiTheme="minorHAnsi" w:hAnsiTheme="minorHAnsi" w:cstheme="minorHAnsi"/>
          <w:color w:val="000000"/>
          <w:sz w:val="24"/>
          <w:szCs w:val="24"/>
        </w:rPr>
        <w:t xml:space="preserve"> the monsoon forecast skill through a collective effort</w:t>
      </w:r>
      <w:r w:rsidR="001132A5">
        <w:rPr>
          <w:rFonts w:asciiTheme="minorHAnsi" w:hAnsiTheme="minorHAnsi" w:cstheme="minorHAnsi"/>
          <w:color w:val="000000"/>
          <w:sz w:val="24"/>
          <w:szCs w:val="24"/>
        </w:rPr>
        <w:t>, providing an ideal location for ICMPO</w:t>
      </w:r>
      <w:r w:rsidR="00023F6A">
        <w:rPr>
          <w:rFonts w:asciiTheme="minorHAnsi" w:hAnsiTheme="minorHAnsi" w:cstheme="minorHAnsi"/>
          <w:color w:val="000000"/>
          <w:sz w:val="24"/>
          <w:szCs w:val="24"/>
        </w:rPr>
        <w:t xml:space="preserve"> in India</w:t>
      </w:r>
      <w:r w:rsidR="001132A5">
        <w:rPr>
          <w:rFonts w:asciiTheme="minorHAnsi" w:hAnsiTheme="minorHAnsi" w:cstheme="minorHAnsi"/>
          <w:color w:val="000000"/>
          <w:sz w:val="24"/>
          <w:szCs w:val="24"/>
        </w:rPr>
        <w:t>.</w:t>
      </w:r>
    </w:p>
    <w:p w14:paraId="60D58DDD" w14:textId="77777777" w:rsidR="006B2A91" w:rsidRDefault="006B2A91" w:rsidP="00967129">
      <w:pPr>
        <w:spacing w:after="0" w:line="240" w:lineRule="auto"/>
        <w:jc w:val="both"/>
        <w:rPr>
          <w:rFonts w:asciiTheme="minorHAnsi" w:hAnsiTheme="minorHAnsi" w:cstheme="minorHAnsi"/>
          <w:color w:val="000000"/>
          <w:sz w:val="24"/>
          <w:szCs w:val="24"/>
        </w:rPr>
      </w:pPr>
    </w:p>
    <w:p w14:paraId="313FD4D0" w14:textId="7ADCA808" w:rsidR="0078114A" w:rsidRDefault="006B2A91" w:rsidP="00967129">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3.2</w:t>
      </w:r>
      <w:r>
        <w:rPr>
          <w:rFonts w:asciiTheme="minorHAnsi" w:hAnsiTheme="minorHAnsi" w:cstheme="minorHAnsi"/>
          <w:color w:val="000000"/>
          <w:sz w:val="24"/>
          <w:szCs w:val="24"/>
        </w:rPr>
        <w:tab/>
      </w:r>
      <w:r w:rsidR="00E258DC">
        <w:rPr>
          <w:rFonts w:asciiTheme="minorHAnsi" w:hAnsiTheme="minorHAnsi" w:cstheme="minorHAnsi"/>
          <w:color w:val="000000"/>
          <w:sz w:val="24"/>
          <w:szCs w:val="24"/>
        </w:rPr>
        <w:t xml:space="preserve">The </w:t>
      </w:r>
      <w:r w:rsidR="0078114A" w:rsidRPr="0078114A">
        <w:rPr>
          <w:rFonts w:asciiTheme="minorHAnsi" w:hAnsiTheme="minorHAnsi" w:cstheme="minorHAnsi"/>
          <w:color w:val="000000"/>
          <w:sz w:val="24"/>
          <w:szCs w:val="24"/>
        </w:rPr>
        <w:t xml:space="preserve">Ministry of Earth Sciences (MoES), Government of India has launched 'National Monsoon Mission' (NMM) with a vision to develop a state-of-the-art dynamical prediction system for monsoon rainfall on different time scales. MoES has bestowed the responsibility of execution and coordination of this mission to IITM. For this national mission, IITM is collaborating with MoES organisations and various </w:t>
      </w:r>
      <w:r w:rsidR="00D46FB4">
        <w:rPr>
          <w:rFonts w:asciiTheme="minorHAnsi" w:hAnsiTheme="minorHAnsi" w:cstheme="minorHAnsi"/>
          <w:color w:val="000000"/>
          <w:sz w:val="24"/>
          <w:szCs w:val="24"/>
        </w:rPr>
        <w:t xml:space="preserve">other </w:t>
      </w:r>
      <w:r w:rsidR="0078114A" w:rsidRPr="0078114A">
        <w:rPr>
          <w:rFonts w:asciiTheme="minorHAnsi" w:hAnsiTheme="minorHAnsi" w:cstheme="minorHAnsi"/>
          <w:color w:val="000000"/>
          <w:sz w:val="24"/>
          <w:szCs w:val="24"/>
        </w:rPr>
        <w:t xml:space="preserve">academic institutions/organizations </w:t>
      </w:r>
      <w:r w:rsidR="00D46FB4">
        <w:rPr>
          <w:rFonts w:asciiTheme="minorHAnsi" w:hAnsiTheme="minorHAnsi" w:cstheme="minorHAnsi"/>
          <w:color w:val="000000"/>
          <w:sz w:val="24"/>
          <w:szCs w:val="24"/>
        </w:rPr>
        <w:t>both within and outside the country</w:t>
      </w:r>
      <w:r w:rsidR="0078114A" w:rsidRPr="0078114A">
        <w:rPr>
          <w:rFonts w:asciiTheme="minorHAnsi" w:hAnsiTheme="minorHAnsi" w:cstheme="minorHAnsi"/>
          <w:color w:val="000000"/>
          <w:sz w:val="24"/>
          <w:szCs w:val="24"/>
        </w:rPr>
        <w:t>.</w:t>
      </w:r>
      <w:r w:rsidR="0019073F">
        <w:rPr>
          <w:rFonts w:asciiTheme="minorHAnsi" w:hAnsiTheme="minorHAnsi" w:cstheme="minorHAnsi"/>
          <w:color w:val="000000"/>
          <w:sz w:val="24"/>
          <w:szCs w:val="24"/>
        </w:rPr>
        <w:t xml:space="preserve">  The Phase I of NMM was </w:t>
      </w:r>
      <w:r w:rsidR="00FA6660">
        <w:rPr>
          <w:rFonts w:asciiTheme="minorHAnsi" w:hAnsiTheme="minorHAnsi" w:cstheme="minorHAnsi"/>
          <w:color w:val="000000"/>
          <w:sz w:val="24"/>
          <w:szCs w:val="24"/>
        </w:rPr>
        <w:t>conducted from 2012 to 2017, and now Phase II is underway</w:t>
      </w:r>
      <w:r w:rsidR="00443346">
        <w:rPr>
          <w:rFonts w:asciiTheme="minorHAnsi" w:hAnsiTheme="minorHAnsi" w:cstheme="minorHAnsi"/>
          <w:color w:val="000000"/>
          <w:sz w:val="24"/>
          <w:szCs w:val="24"/>
        </w:rPr>
        <w:t>.</w:t>
      </w:r>
      <w:r w:rsidR="00DC338F">
        <w:rPr>
          <w:rFonts w:asciiTheme="minorHAnsi" w:hAnsiTheme="minorHAnsi" w:cstheme="minorHAnsi"/>
          <w:color w:val="000000"/>
          <w:sz w:val="24"/>
          <w:szCs w:val="24"/>
        </w:rPr>
        <w:t xml:space="preserve">  With active involvement of several </w:t>
      </w:r>
      <w:r w:rsidR="00ED6E26">
        <w:rPr>
          <w:rFonts w:asciiTheme="minorHAnsi" w:hAnsiTheme="minorHAnsi" w:cstheme="minorHAnsi"/>
          <w:color w:val="000000"/>
          <w:sz w:val="24"/>
          <w:szCs w:val="24"/>
        </w:rPr>
        <w:t xml:space="preserve">international groups in NMM projects, and NMM Project Directorate being located in IITM, </w:t>
      </w:r>
      <w:r w:rsidR="00B14F40">
        <w:rPr>
          <w:rFonts w:asciiTheme="minorHAnsi" w:hAnsiTheme="minorHAnsi" w:cstheme="minorHAnsi"/>
          <w:color w:val="000000"/>
          <w:sz w:val="24"/>
          <w:szCs w:val="24"/>
        </w:rPr>
        <w:t xml:space="preserve">the work of ICMPO </w:t>
      </w:r>
      <w:r w:rsidR="000D116B">
        <w:rPr>
          <w:rFonts w:asciiTheme="minorHAnsi" w:hAnsiTheme="minorHAnsi" w:cstheme="minorHAnsi"/>
          <w:color w:val="000000"/>
          <w:sz w:val="24"/>
          <w:szCs w:val="24"/>
        </w:rPr>
        <w:t>is further enriched</w:t>
      </w:r>
      <w:r w:rsidR="003E0D4B">
        <w:rPr>
          <w:rFonts w:asciiTheme="minorHAnsi" w:hAnsiTheme="minorHAnsi" w:cstheme="minorHAnsi"/>
          <w:color w:val="000000"/>
          <w:sz w:val="24"/>
          <w:szCs w:val="24"/>
        </w:rPr>
        <w:t>.</w:t>
      </w:r>
    </w:p>
    <w:p w14:paraId="7E2734F6" w14:textId="4127BD86" w:rsidR="00C3514B" w:rsidRDefault="00C3514B" w:rsidP="00967129">
      <w:pPr>
        <w:spacing w:after="0" w:line="240" w:lineRule="auto"/>
        <w:jc w:val="both"/>
        <w:rPr>
          <w:rFonts w:asciiTheme="minorHAnsi" w:hAnsiTheme="minorHAnsi" w:cstheme="minorHAnsi"/>
          <w:color w:val="000000"/>
          <w:sz w:val="24"/>
          <w:szCs w:val="24"/>
        </w:rPr>
      </w:pPr>
    </w:p>
    <w:p w14:paraId="2C9E96C5" w14:textId="3510684F" w:rsidR="00C3514B" w:rsidRDefault="00C3514B" w:rsidP="0052030F">
      <w:pPr>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3.3</w:t>
      </w:r>
      <w:r>
        <w:rPr>
          <w:rFonts w:asciiTheme="minorHAnsi" w:hAnsiTheme="minorHAnsi" w:cstheme="minorHAnsi"/>
          <w:color w:val="000000"/>
          <w:sz w:val="24"/>
          <w:szCs w:val="24"/>
        </w:rPr>
        <w:tab/>
      </w:r>
      <w:r w:rsidR="00C149EE">
        <w:rPr>
          <w:rFonts w:asciiTheme="minorHAnsi" w:hAnsiTheme="minorHAnsi" w:cstheme="minorHAnsi"/>
          <w:color w:val="000000"/>
          <w:sz w:val="24"/>
          <w:szCs w:val="24"/>
        </w:rPr>
        <w:t xml:space="preserve">IITM, with its strong international linkages around the world, </w:t>
      </w:r>
      <w:r w:rsidR="00674ABA">
        <w:rPr>
          <w:rFonts w:asciiTheme="minorHAnsi" w:hAnsiTheme="minorHAnsi" w:cstheme="minorHAnsi"/>
          <w:color w:val="000000"/>
          <w:sz w:val="24"/>
          <w:szCs w:val="24"/>
        </w:rPr>
        <w:t xml:space="preserve">state-of-the art infrastructural facilities, </w:t>
      </w:r>
      <w:r w:rsidR="00052833">
        <w:rPr>
          <w:rFonts w:asciiTheme="minorHAnsi" w:hAnsiTheme="minorHAnsi" w:cstheme="minorHAnsi"/>
          <w:color w:val="000000"/>
          <w:sz w:val="24"/>
          <w:szCs w:val="24"/>
        </w:rPr>
        <w:t>long experience in hosting international events and programmes</w:t>
      </w:r>
      <w:r w:rsidR="004332A1">
        <w:rPr>
          <w:rFonts w:asciiTheme="minorHAnsi" w:hAnsiTheme="minorHAnsi" w:cstheme="minorHAnsi"/>
          <w:color w:val="000000"/>
          <w:sz w:val="24"/>
          <w:szCs w:val="24"/>
        </w:rPr>
        <w:t xml:space="preserve"> and historic </w:t>
      </w:r>
      <w:r w:rsidR="005562D5">
        <w:rPr>
          <w:rFonts w:asciiTheme="minorHAnsi" w:hAnsiTheme="minorHAnsi" w:cstheme="minorHAnsi"/>
          <w:color w:val="000000"/>
          <w:sz w:val="24"/>
          <w:szCs w:val="24"/>
        </w:rPr>
        <w:t xml:space="preserve">relationships with WMO and WCRP, </w:t>
      </w:r>
      <w:r w:rsidR="00CB2465">
        <w:rPr>
          <w:rFonts w:asciiTheme="minorHAnsi" w:hAnsiTheme="minorHAnsi" w:cstheme="minorHAnsi"/>
          <w:color w:val="000000"/>
          <w:sz w:val="24"/>
          <w:szCs w:val="24"/>
        </w:rPr>
        <w:t>provides an excellent</w:t>
      </w:r>
      <w:r w:rsidR="009C60D6">
        <w:rPr>
          <w:rFonts w:asciiTheme="minorHAnsi" w:hAnsiTheme="minorHAnsi" w:cstheme="minorHAnsi"/>
          <w:color w:val="000000"/>
          <w:sz w:val="24"/>
          <w:szCs w:val="24"/>
        </w:rPr>
        <w:t xml:space="preserve"> resource for </w:t>
      </w:r>
      <w:r w:rsidR="00F00E54">
        <w:rPr>
          <w:rFonts w:asciiTheme="minorHAnsi" w:hAnsiTheme="minorHAnsi" w:cstheme="minorHAnsi"/>
          <w:color w:val="000000"/>
          <w:sz w:val="24"/>
          <w:szCs w:val="24"/>
        </w:rPr>
        <w:t xml:space="preserve">the IPO functionality.  On the other </w:t>
      </w:r>
      <w:r w:rsidR="00500F00">
        <w:rPr>
          <w:rFonts w:asciiTheme="minorHAnsi" w:hAnsiTheme="minorHAnsi" w:cstheme="minorHAnsi"/>
          <w:color w:val="000000"/>
          <w:sz w:val="24"/>
          <w:szCs w:val="24"/>
        </w:rPr>
        <w:t>side, the</w:t>
      </w:r>
      <w:r w:rsidR="0052030F" w:rsidRPr="0052030F">
        <w:rPr>
          <w:rFonts w:asciiTheme="minorHAnsi" w:hAnsiTheme="minorHAnsi" w:cstheme="minorHAnsi"/>
          <w:color w:val="000000"/>
          <w:sz w:val="24"/>
          <w:szCs w:val="24"/>
        </w:rPr>
        <w:t xml:space="preserve"> MoES </w:t>
      </w:r>
      <w:r w:rsidR="0048436D">
        <w:rPr>
          <w:rFonts w:asciiTheme="minorHAnsi" w:hAnsiTheme="minorHAnsi" w:cstheme="minorHAnsi"/>
          <w:color w:val="000000"/>
          <w:sz w:val="24"/>
          <w:szCs w:val="24"/>
        </w:rPr>
        <w:t xml:space="preserve">can potentially </w:t>
      </w:r>
      <w:r w:rsidR="0052030F" w:rsidRPr="0052030F">
        <w:rPr>
          <w:rFonts w:asciiTheme="minorHAnsi" w:hAnsiTheme="minorHAnsi" w:cstheme="minorHAnsi"/>
          <w:color w:val="000000"/>
          <w:sz w:val="24"/>
          <w:szCs w:val="24"/>
        </w:rPr>
        <w:t xml:space="preserve">enhance </w:t>
      </w:r>
      <w:r w:rsidR="004C389A">
        <w:rPr>
          <w:rFonts w:asciiTheme="minorHAnsi" w:hAnsiTheme="minorHAnsi" w:cstheme="minorHAnsi"/>
          <w:color w:val="000000"/>
          <w:sz w:val="24"/>
          <w:szCs w:val="24"/>
        </w:rPr>
        <w:t xml:space="preserve">the visibility of its programmes </w:t>
      </w:r>
      <w:r w:rsidR="0052030F" w:rsidRPr="0052030F">
        <w:rPr>
          <w:rFonts w:asciiTheme="minorHAnsi" w:hAnsiTheme="minorHAnsi" w:cstheme="minorHAnsi"/>
          <w:color w:val="000000"/>
          <w:sz w:val="24"/>
          <w:szCs w:val="24"/>
        </w:rPr>
        <w:t xml:space="preserve">in </w:t>
      </w:r>
      <w:r w:rsidR="004C389A">
        <w:rPr>
          <w:rFonts w:asciiTheme="minorHAnsi" w:hAnsiTheme="minorHAnsi" w:cstheme="minorHAnsi"/>
          <w:color w:val="000000"/>
          <w:sz w:val="24"/>
          <w:szCs w:val="24"/>
        </w:rPr>
        <w:t xml:space="preserve">the </w:t>
      </w:r>
      <w:r w:rsidR="0052030F" w:rsidRPr="0052030F">
        <w:rPr>
          <w:rFonts w:asciiTheme="minorHAnsi" w:hAnsiTheme="minorHAnsi" w:cstheme="minorHAnsi"/>
          <w:color w:val="000000"/>
          <w:sz w:val="24"/>
          <w:szCs w:val="24"/>
        </w:rPr>
        <w:t>world scientific community</w:t>
      </w:r>
      <w:r w:rsidR="004C389A">
        <w:rPr>
          <w:rFonts w:asciiTheme="minorHAnsi" w:hAnsiTheme="minorHAnsi" w:cstheme="minorHAnsi"/>
          <w:color w:val="000000"/>
          <w:sz w:val="24"/>
          <w:szCs w:val="24"/>
        </w:rPr>
        <w:t xml:space="preserve"> through its support to the ICMPO</w:t>
      </w:r>
      <w:r w:rsidR="0052030F" w:rsidRPr="0052030F">
        <w:rPr>
          <w:rFonts w:asciiTheme="minorHAnsi" w:hAnsiTheme="minorHAnsi" w:cstheme="minorHAnsi"/>
          <w:color w:val="000000"/>
          <w:sz w:val="24"/>
          <w:szCs w:val="24"/>
        </w:rPr>
        <w:t>.</w:t>
      </w:r>
      <w:r w:rsidR="004C389A">
        <w:rPr>
          <w:rFonts w:asciiTheme="minorHAnsi" w:hAnsiTheme="minorHAnsi" w:cstheme="minorHAnsi"/>
          <w:color w:val="000000"/>
          <w:sz w:val="24"/>
          <w:szCs w:val="24"/>
        </w:rPr>
        <w:t xml:space="preserve">  </w:t>
      </w:r>
      <w:r w:rsidR="0052030F" w:rsidRPr="0052030F">
        <w:rPr>
          <w:rFonts w:asciiTheme="minorHAnsi" w:hAnsiTheme="minorHAnsi" w:cstheme="minorHAnsi"/>
          <w:color w:val="000000"/>
          <w:sz w:val="24"/>
          <w:szCs w:val="24"/>
        </w:rPr>
        <w:t xml:space="preserve">Monsoon research </w:t>
      </w:r>
      <w:r w:rsidR="001216FA">
        <w:rPr>
          <w:rFonts w:asciiTheme="minorHAnsi" w:hAnsiTheme="minorHAnsi" w:cstheme="minorHAnsi"/>
          <w:color w:val="000000"/>
          <w:sz w:val="24"/>
          <w:szCs w:val="24"/>
        </w:rPr>
        <w:t>can be better prioritized</w:t>
      </w:r>
      <w:r w:rsidR="0052030F" w:rsidRPr="0052030F">
        <w:rPr>
          <w:rFonts w:asciiTheme="minorHAnsi" w:hAnsiTheme="minorHAnsi" w:cstheme="minorHAnsi"/>
          <w:color w:val="000000"/>
          <w:sz w:val="24"/>
          <w:szCs w:val="24"/>
        </w:rPr>
        <w:t xml:space="preserve"> by the world community through </w:t>
      </w:r>
      <w:r w:rsidR="00DB6057">
        <w:rPr>
          <w:rFonts w:asciiTheme="minorHAnsi" w:hAnsiTheme="minorHAnsi" w:cstheme="minorHAnsi"/>
          <w:color w:val="000000"/>
          <w:sz w:val="24"/>
          <w:szCs w:val="24"/>
        </w:rPr>
        <w:t>the efforts of the ICMPO</w:t>
      </w:r>
      <w:r w:rsidR="00F4156D">
        <w:rPr>
          <w:rFonts w:asciiTheme="minorHAnsi" w:hAnsiTheme="minorHAnsi" w:cstheme="minorHAnsi"/>
          <w:color w:val="000000"/>
          <w:sz w:val="24"/>
          <w:szCs w:val="24"/>
        </w:rPr>
        <w:t>, deriving mutual benefits to both WMO/WCRP and MoES/IITM</w:t>
      </w:r>
      <w:r w:rsidR="0052030F" w:rsidRPr="0052030F">
        <w:rPr>
          <w:rFonts w:asciiTheme="minorHAnsi" w:hAnsiTheme="minorHAnsi" w:cstheme="minorHAnsi"/>
          <w:color w:val="000000"/>
          <w:sz w:val="24"/>
          <w:szCs w:val="24"/>
        </w:rPr>
        <w:t>.</w:t>
      </w:r>
      <w:r w:rsidR="002E14D6">
        <w:rPr>
          <w:rFonts w:asciiTheme="minorHAnsi" w:hAnsiTheme="minorHAnsi" w:cstheme="minorHAnsi"/>
          <w:color w:val="000000"/>
          <w:sz w:val="24"/>
          <w:szCs w:val="24"/>
        </w:rPr>
        <w:t xml:space="preserve">  Further, y</w:t>
      </w:r>
      <w:r w:rsidR="0052030F" w:rsidRPr="0052030F">
        <w:rPr>
          <w:rFonts w:asciiTheme="minorHAnsi" w:hAnsiTheme="minorHAnsi" w:cstheme="minorHAnsi"/>
          <w:color w:val="000000"/>
          <w:sz w:val="24"/>
          <w:szCs w:val="24"/>
        </w:rPr>
        <w:t xml:space="preserve">oung scientists of MoES and other institutes will get an opportunity </w:t>
      </w:r>
      <w:r w:rsidR="001145AA">
        <w:rPr>
          <w:rFonts w:asciiTheme="minorHAnsi" w:hAnsiTheme="minorHAnsi" w:cstheme="minorHAnsi"/>
          <w:color w:val="000000"/>
          <w:sz w:val="24"/>
          <w:szCs w:val="24"/>
        </w:rPr>
        <w:t>for two-way</w:t>
      </w:r>
      <w:r w:rsidR="0052030F" w:rsidRPr="0052030F">
        <w:rPr>
          <w:rFonts w:asciiTheme="minorHAnsi" w:hAnsiTheme="minorHAnsi" w:cstheme="minorHAnsi"/>
          <w:color w:val="000000"/>
          <w:sz w:val="24"/>
          <w:szCs w:val="24"/>
        </w:rPr>
        <w:t xml:space="preserve"> interact</w:t>
      </w:r>
      <w:r w:rsidR="001145AA">
        <w:rPr>
          <w:rFonts w:asciiTheme="minorHAnsi" w:hAnsiTheme="minorHAnsi" w:cstheme="minorHAnsi"/>
          <w:color w:val="000000"/>
          <w:sz w:val="24"/>
          <w:szCs w:val="24"/>
        </w:rPr>
        <w:t>ions</w:t>
      </w:r>
      <w:r w:rsidR="0052030F" w:rsidRPr="0052030F">
        <w:rPr>
          <w:rFonts w:asciiTheme="minorHAnsi" w:hAnsiTheme="minorHAnsi" w:cstheme="minorHAnsi"/>
          <w:color w:val="000000"/>
          <w:sz w:val="24"/>
          <w:szCs w:val="24"/>
        </w:rPr>
        <w:t xml:space="preserve"> with</w:t>
      </w:r>
      <w:r w:rsidR="001145AA">
        <w:rPr>
          <w:rFonts w:asciiTheme="minorHAnsi" w:hAnsiTheme="minorHAnsi" w:cstheme="minorHAnsi"/>
          <w:color w:val="000000"/>
          <w:sz w:val="24"/>
          <w:szCs w:val="24"/>
        </w:rPr>
        <w:t xml:space="preserve"> the</w:t>
      </w:r>
      <w:r w:rsidR="0052030F" w:rsidRPr="0052030F">
        <w:rPr>
          <w:rFonts w:asciiTheme="minorHAnsi" w:hAnsiTheme="minorHAnsi" w:cstheme="minorHAnsi"/>
          <w:color w:val="000000"/>
          <w:sz w:val="24"/>
          <w:szCs w:val="24"/>
        </w:rPr>
        <w:t xml:space="preserve"> international experts </w:t>
      </w:r>
      <w:r w:rsidR="002E14D6">
        <w:rPr>
          <w:rFonts w:asciiTheme="minorHAnsi" w:hAnsiTheme="minorHAnsi" w:cstheme="minorHAnsi"/>
          <w:color w:val="000000"/>
          <w:sz w:val="24"/>
          <w:szCs w:val="24"/>
        </w:rPr>
        <w:t>under the auspices</w:t>
      </w:r>
      <w:r w:rsidR="0052030F" w:rsidRPr="0052030F">
        <w:rPr>
          <w:rFonts w:asciiTheme="minorHAnsi" w:hAnsiTheme="minorHAnsi" w:cstheme="minorHAnsi"/>
          <w:color w:val="000000"/>
          <w:sz w:val="24"/>
          <w:szCs w:val="24"/>
        </w:rPr>
        <w:t xml:space="preserve"> of this project office.</w:t>
      </w:r>
      <w:r w:rsidR="005B08F5">
        <w:rPr>
          <w:rFonts w:asciiTheme="minorHAnsi" w:hAnsiTheme="minorHAnsi" w:cstheme="minorHAnsi"/>
          <w:color w:val="000000"/>
          <w:sz w:val="24"/>
          <w:szCs w:val="24"/>
        </w:rPr>
        <w:t xml:space="preserve">  In effect, it is a win-win arrangement.</w:t>
      </w:r>
    </w:p>
    <w:p w14:paraId="1EF68BF2" w14:textId="77777777" w:rsidR="007E433A" w:rsidRDefault="007E433A" w:rsidP="007E433A">
      <w:pPr>
        <w:spacing w:after="0" w:line="240" w:lineRule="auto"/>
        <w:jc w:val="both"/>
        <w:rPr>
          <w:rStyle w:val="PageNumber"/>
          <w:rFonts w:asciiTheme="minorHAnsi" w:hAnsiTheme="minorHAnsi" w:cstheme="minorHAnsi"/>
          <w:sz w:val="24"/>
          <w:szCs w:val="24"/>
          <w:lang w:val="en-GB"/>
        </w:rPr>
      </w:pPr>
    </w:p>
    <w:p w14:paraId="7606F593" w14:textId="7E495D3E" w:rsidR="007E433A" w:rsidRPr="007021EA" w:rsidRDefault="007E433A" w:rsidP="007E433A">
      <w:pPr>
        <w:spacing w:after="0" w:line="240" w:lineRule="auto"/>
        <w:jc w:val="both"/>
        <w:rPr>
          <w:rStyle w:val="PageNumber"/>
          <w:rFonts w:asciiTheme="minorHAnsi" w:hAnsiTheme="minorHAnsi" w:cstheme="minorHAnsi"/>
          <w:sz w:val="24"/>
          <w:szCs w:val="24"/>
          <w:lang w:val="en-GB"/>
        </w:rPr>
      </w:pPr>
      <w:r>
        <w:rPr>
          <w:rStyle w:val="PageNumber"/>
          <w:rFonts w:asciiTheme="minorHAnsi" w:hAnsiTheme="minorHAnsi" w:cstheme="minorHAnsi"/>
          <w:sz w:val="24"/>
          <w:szCs w:val="24"/>
          <w:lang w:val="en-GB"/>
        </w:rPr>
        <w:t>3.4</w:t>
      </w:r>
      <w:r>
        <w:rPr>
          <w:rStyle w:val="PageNumber"/>
          <w:rFonts w:asciiTheme="minorHAnsi" w:hAnsiTheme="minorHAnsi" w:cstheme="minorHAnsi"/>
          <w:sz w:val="24"/>
          <w:szCs w:val="24"/>
          <w:lang w:val="en-GB"/>
        </w:rPr>
        <w:tab/>
      </w:r>
      <w:r w:rsidRPr="007021EA">
        <w:rPr>
          <w:rStyle w:val="PageNumber"/>
          <w:rFonts w:asciiTheme="minorHAnsi" w:hAnsiTheme="minorHAnsi" w:cstheme="minorHAnsi"/>
          <w:sz w:val="24"/>
          <w:szCs w:val="24"/>
          <w:lang w:val="en-GB"/>
        </w:rPr>
        <w:t xml:space="preserve">Several of IITM scientists hold important positions in </w:t>
      </w:r>
      <w:r w:rsidR="00C91BDC">
        <w:rPr>
          <w:rStyle w:val="PageNumber"/>
          <w:rFonts w:asciiTheme="minorHAnsi" w:hAnsiTheme="minorHAnsi" w:cstheme="minorHAnsi"/>
          <w:sz w:val="24"/>
          <w:szCs w:val="24"/>
          <w:lang w:val="en-GB"/>
        </w:rPr>
        <w:t xml:space="preserve">various bodies of </w:t>
      </w:r>
      <w:r w:rsidRPr="007021EA">
        <w:rPr>
          <w:rStyle w:val="PageNumber"/>
          <w:rFonts w:asciiTheme="minorHAnsi" w:hAnsiTheme="minorHAnsi" w:cstheme="minorHAnsi"/>
          <w:sz w:val="24"/>
          <w:szCs w:val="24"/>
          <w:lang w:val="en-GB"/>
        </w:rPr>
        <w:t>WCRP and its core projects, facilitating the work of ICMPO, as indicated below:</w:t>
      </w:r>
    </w:p>
    <w:p w14:paraId="04080875" w14:textId="77777777" w:rsidR="007E433A" w:rsidRPr="00EB453D" w:rsidRDefault="007E433A" w:rsidP="007E433A">
      <w:pPr>
        <w:numPr>
          <w:ilvl w:val="0"/>
          <w:numId w:val="1"/>
        </w:numPr>
        <w:spacing w:after="0" w:line="240" w:lineRule="auto"/>
        <w:jc w:val="both"/>
        <w:rPr>
          <w:rFonts w:asciiTheme="minorHAnsi" w:hAnsiTheme="minorHAnsi"/>
          <w:iCs/>
          <w:color w:val="000000"/>
          <w:sz w:val="24"/>
          <w:szCs w:val="24"/>
          <w:lang w:val="en-GB"/>
        </w:rPr>
      </w:pPr>
      <w:r w:rsidRPr="00EB453D">
        <w:rPr>
          <w:rFonts w:asciiTheme="minorHAnsi" w:hAnsiTheme="minorHAnsi"/>
          <w:iCs/>
          <w:color w:val="000000"/>
          <w:sz w:val="24"/>
          <w:szCs w:val="24"/>
          <w:lang w:val="en-GB"/>
        </w:rPr>
        <w:t>Dr R. Krishnan, Member, Joint Scientific Committee, WCRP;</w:t>
      </w:r>
    </w:p>
    <w:p w14:paraId="43393450" w14:textId="1DED0BE2" w:rsidR="007E433A" w:rsidRDefault="007E433A" w:rsidP="007E433A">
      <w:pPr>
        <w:numPr>
          <w:ilvl w:val="0"/>
          <w:numId w:val="1"/>
        </w:numPr>
        <w:spacing w:after="0" w:line="240" w:lineRule="auto"/>
        <w:jc w:val="both"/>
        <w:rPr>
          <w:rFonts w:asciiTheme="minorHAnsi" w:hAnsiTheme="minorHAnsi"/>
          <w:iCs/>
          <w:color w:val="000000"/>
          <w:sz w:val="24"/>
          <w:szCs w:val="24"/>
          <w:lang w:val="en-GB"/>
        </w:rPr>
      </w:pPr>
      <w:r w:rsidRPr="00EB453D">
        <w:rPr>
          <w:rFonts w:asciiTheme="minorHAnsi" w:hAnsiTheme="minorHAnsi"/>
          <w:iCs/>
          <w:color w:val="000000"/>
          <w:sz w:val="24"/>
          <w:szCs w:val="24"/>
          <w:lang w:val="en-GB"/>
        </w:rPr>
        <w:t xml:space="preserve">Dr A. </w:t>
      </w:r>
      <w:proofErr w:type="spellStart"/>
      <w:r w:rsidRPr="00EB453D">
        <w:rPr>
          <w:rFonts w:asciiTheme="minorHAnsi" w:hAnsiTheme="minorHAnsi"/>
          <w:iCs/>
          <w:color w:val="000000"/>
          <w:sz w:val="24"/>
          <w:szCs w:val="24"/>
          <w:lang w:val="en-GB"/>
        </w:rPr>
        <w:t>Suryachandra</w:t>
      </w:r>
      <w:proofErr w:type="spellEnd"/>
      <w:r w:rsidRPr="00EB453D">
        <w:rPr>
          <w:rFonts w:asciiTheme="minorHAnsi" w:hAnsiTheme="minorHAnsi"/>
          <w:iCs/>
          <w:color w:val="000000"/>
          <w:sz w:val="24"/>
          <w:szCs w:val="24"/>
          <w:lang w:val="en-GB"/>
        </w:rPr>
        <w:t xml:space="preserve"> Rao, Member, CLIVAR/GEWEX Monsoons Panel;</w:t>
      </w:r>
    </w:p>
    <w:p w14:paraId="29EDAD20" w14:textId="20B9C8E4" w:rsidR="003252D3" w:rsidRPr="00EB453D" w:rsidRDefault="003252D3" w:rsidP="007E433A">
      <w:pPr>
        <w:numPr>
          <w:ilvl w:val="0"/>
          <w:numId w:val="1"/>
        </w:numPr>
        <w:spacing w:after="0" w:line="240" w:lineRule="auto"/>
        <w:jc w:val="both"/>
        <w:rPr>
          <w:rFonts w:asciiTheme="minorHAnsi" w:hAnsiTheme="minorHAnsi"/>
          <w:iCs/>
          <w:color w:val="000000"/>
          <w:sz w:val="24"/>
          <w:szCs w:val="24"/>
          <w:lang w:val="en-GB"/>
        </w:rPr>
      </w:pPr>
      <w:r>
        <w:rPr>
          <w:rFonts w:asciiTheme="minorHAnsi" w:hAnsiTheme="minorHAnsi"/>
          <w:iCs/>
          <w:color w:val="000000"/>
          <w:sz w:val="24"/>
          <w:szCs w:val="24"/>
          <w:lang w:val="en-GB"/>
        </w:rPr>
        <w:t xml:space="preserve">Dr (Ms) Swapna </w:t>
      </w:r>
      <w:proofErr w:type="spellStart"/>
      <w:r>
        <w:rPr>
          <w:rFonts w:asciiTheme="minorHAnsi" w:hAnsiTheme="minorHAnsi"/>
          <w:iCs/>
          <w:color w:val="000000"/>
          <w:sz w:val="24"/>
          <w:szCs w:val="24"/>
          <w:lang w:val="en-GB"/>
        </w:rPr>
        <w:t>Panickal</w:t>
      </w:r>
      <w:proofErr w:type="spellEnd"/>
      <w:r>
        <w:rPr>
          <w:rFonts w:asciiTheme="minorHAnsi" w:hAnsiTheme="minorHAnsi"/>
          <w:iCs/>
          <w:color w:val="000000"/>
          <w:sz w:val="24"/>
          <w:szCs w:val="24"/>
          <w:lang w:val="en-GB"/>
        </w:rPr>
        <w:t>, Mem</w:t>
      </w:r>
      <w:r w:rsidR="002F1ACE">
        <w:rPr>
          <w:rFonts w:asciiTheme="minorHAnsi" w:hAnsiTheme="minorHAnsi"/>
          <w:iCs/>
          <w:color w:val="000000"/>
          <w:sz w:val="24"/>
          <w:szCs w:val="24"/>
          <w:lang w:val="en-GB"/>
        </w:rPr>
        <w:t xml:space="preserve">ber, WCRP Working Group on Coupled </w:t>
      </w:r>
      <w:proofErr w:type="spellStart"/>
      <w:r w:rsidR="002F1ACE">
        <w:rPr>
          <w:rFonts w:asciiTheme="minorHAnsi" w:hAnsiTheme="minorHAnsi"/>
          <w:iCs/>
          <w:color w:val="000000"/>
          <w:sz w:val="24"/>
          <w:szCs w:val="24"/>
          <w:lang w:val="en-GB"/>
        </w:rPr>
        <w:t>Modeling</w:t>
      </w:r>
      <w:proofErr w:type="spellEnd"/>
      <w:r w:rsidR="002F1ACE">
        <w:rPr>
          <w:rFonts w:asciiTheme="minorHAnsi" w:hAnsiTheme="minorHAnsi"/>
          <w:iCs/>
          <w:color w:val="000000"/>
          <w:sz w:val="24"/>
          <w:szCs w:val="24"/>
          <w:lang w:val="en-GB"/>
        </w:rPr>
        <w:t>;</w:t>
      </w:r>
    </w:p>
    <w:p w14:paraId="0498C9AB" w14:textId="77777777" w:rsidR="007E433A" w:rsidRPr="00EB453D" w:rsidRDefault="007E433A" w:rsidP="007E433A">
      <w:pPr>
        <w:numPr>
          <w:ilvl w:val="0"/>
          <w:numId w:val="1"/>
        </w:numPr>
        <w:spacing w:after="0" w:line="240" w:lineRule="auto"/>
        <w:jc w:val="both"/>
        <w:rPr>
          <w:rFonts w:asciiTheme="minorHAnsi" w:hAnsiTheme="minorHAnsi"/>
          <w:iCs/>
          <w:color w:val="000000"/>
          <w:sz w:val="24"/>
          <w:szCs w:val="24"/>
        </w:rPr>
      </w:pPr>
      <w:r w:rsidRPr="00EB453D">
        <w:rPr>
          <w:rFonts w:asciiTheme="minorHAnsi" w:hAnsiTheme="minorHAnsi"/>
          <w:iCs/>
          <w:color w:val="000000"/>
          <w:sz w:val="24"/>
          <w:szCs w:val="24"/>
          <w:lang w:val="en-GB"/>
        </w:rPr>
        <w:t>Dr Roxy Mathew Koll, Co-Chair, CLIVAR/IOC-GOOS Indian Ocean Region Panel;</w:t>
      </w:r>
    </w:p>
    <w:p w14:paraId="747D481C" w14:textId="77777777" w:rsidR="007E433A" w:rsidRPr="00EB453D" w:rsidRDefault="007E433A" w:rsidP="007E433A">
      <w:pPr>
        <w:numPr>
          <w:ilvl w:val="0"/>
          <w:numId w:val="1"/>
        </w:numPr>
        <w:spacing w:after="0" w:line="240" w:lineRule="auto"/>
        <w:jc w:val="both"/>
        <w:rPr>
          <w:rFonts w:asciiTheme="minorHAnsi" w:hAnsiTheme="minorHAnsi"/>
          <w:iCs/>
          <w:color w:val="000000"/>
          <w:sz w:val="24"/>
          <w:szCs w:val="24"/>
        </w:rPr>
      </w:pPr>
      <w:r w:rsidRPr="00EB453D">
        <w:rPr>
          <w:rFonts w:asciiTheme="minorHAnsi" w:hAnsiTheme="minorHAnsi"/>
          <w:iCs/>
          <w:color w:val="000000"/>
          <w:sz w:val="24"/>
          <w:szCs w:val="24"/>
          <w:lang w:val="en-GB"/>
        </w:rPr>
        <w:t>Dr J. Sanjay, Member, Science Advisory Team, WCRP Coordinated Regional Downscaling Experiment (CORDEX)</w:t>
      </w:r>
    </w:p>
    <w:p w14:paraId="054453B6" w14:textId="77777777" w:rsidR="007E433A" w:rsidRPr="00EB453D" w:rsidRDefault="007E433A" w:rsidP="007E433A">
      <w:pPr>
        <w:numPr>
          <w:ilvl w:val="0"/>
          <w:numId w:val="1"/>
        </w:numPr>
        <w:spacing w:after="0" w:line="240" w:lineRule="auto"/>
        <w:jc w:val="both"/>
        <w:rPr>
          <w:rFonts w:asciiTheme="minorHAnsi" w:hAnsiTheme="minorHAnsi"/>
          <w:iCs/>
          <w:color w:val="000000"/>
          <w:sz w:val="24"/>
          <w:szCs w:val="24"/>
          <w:lang w:val="en-GB"/>
        </w:rPr>
      </w:pPr>
      <w:r w:rsidRPr="00EB453D">
        <w:rPr>
          <w:rFonts w:asciiTheme="minorHAnsi" w:hAnsiTheme="minorHAnsi"/>
          <w:iCs/>
          <w:color w:val="000000"/>
          <w:sz w:val="24"/>
          <w:szCs w:val="24"/>
          <w:lang w:val="en-GB"/>
        </w:rPr>
        <w:lastRenderedPageBreak/>
        <w:t>Dr Parthasarathy Mukhopadhyay, Member, Monsoons Panel Regional Working Group on Asian-Australian Monsoons;</w:t>
      </w:r>
    </w:p>
    <w:p w14:paraId="517E67FA" w14:textId="7967D462" w:rsidR="002F3483" w:rsidRDefault="002F3483" w:rsidP="0052030F">
      <w:pPr>
        <w:spacing w:after="0" w:line="240" w:lineRule="auto"/>
        <w:jc w:val="both"/>
        <w:rPr>
          <w:rFonts w:asciiTheme="minorHAnsi" w:hAnsiTheme="minorHAnsi" w:cstheme="minorHAnsi"/>
          <w:color w:val="000000"/>
          <w:sz w:val="24"/>
          <w:szCs w:val="24"/>
        </w:rPr>
      </w:pPr>
    </w:p>
    <w:p w14:paraId="1F4BA964" w14:textId="6420EF69" w:rsidR="002F3483" w:rsidRPr="00911D65" w:rsidRDefault="00B76D33" w:rsidP="00B76D33">
      <w:pPr>
        <w:spacing w:after="0" w:line="240" w:lineRule="auto"/>
        <w:jc w:val="both"/>
        <w:rPr>
          <w:rFonts w:asciiTheme="minorHAnsi" w:hAnsiTheme="minorHAnsi" w:cstheme="minorHAnsi"/>
          <w:b/>
          <w:color w:val="000000"/>
          <w:sz w:val="24"/>
          <w:szCs w:val="24"/>
        </w:rPr>
      </w:pPr>
      <w:r w:rsidRPr="00911D65">
        <w:rPr>
          <w:rFonts w:asciiTheme="minorHAnsi" w:hAnsiTheme="minorHAnsi" w:cstheme="minorHAnsi"/>
          <w:b/>
          <w:color w:val="000000"/>
          <w:sz w:val="24"/>
          <w:szCs w:val="24"/>
        </w:rPr>
        <w:t>4.</w:t>
      </w:r>
      <w:r w:rsidRPr="00911D65">
        <w:rPr>
          <w:rFonts w:asciiTheme="minorHAnsi" w:hAnsiTheme="minorHAnsi" w:cstheme="minorHAnsi"/>
          <w:b/>
          <w:color w:val="000000"/>
          <w:sz w:val="24"/>
          <w:szCs w:val="24"/>
        </w:rPr>
        <w:tab/>
        <w:t>Monsoon activities under the World Weather Research Programme</w:t>
      </w:r>
      <w:r w:rsidR="00911D65">
        <w:rPr>
          <w:rFonts w:asciiTheme="minorHAnsi" w:hAnsiTheme="minorHAnsi" w:cstheme="minorHAnsi"/>
          <w:b/>
          <w:color w:val="000000"/>
          <w:sz w:val="24"/>
          <w:szCs w:val="24"/>
        </w:rPr>
        <w:t xml:space="preserve"> (WWRP)</w:t>
      </w:r>
    </w:p>
    <w:p w14:paraId="1A5BDD1E" w14:textId="513E88DC" w:rsidR="00911D65" w:rsidRDefault="00911D65" w:rsidP="00B76D33">
      <w:pPr>
        <w:spacing w:after="0" w:line="240" w:lineRule="auto"/>
        <w:jc w:val="both"/>
        <w:rPr>
          <w:rFonts w:asciiTheme="minorHAnsi" w:hAnsiTheme="minorHAnsi" w:cstheme="minorHAnsi"/>
          <w:color w:val="000000"/>
          <w:sz w:val="24"/>
          <w:szCs w:val="24"/>
        </w:rPr>
      </w:pPr>
    </w:p>
    <w:p w14:paraId="66BF1CBB" w14:textId="4F147029" w:rsidR="003567F0" w:rsidRPr="003567F0" w:rsidRDefault="003567F0" w:rsidP="003567F0">
      <w:pPr>
        <w:spacing w:after="0" w:line="240" w:lineRule="auto"/>
        <w:jc w:val="both"/>
        <w:rPr>
          <w:rFonts w:asciiTheme="minorHAnsi" w:hAnsiTheme="minorHAnsi" w:cstheme="minorHAnsi"/>
          <w:color w:val="000000"/>
          <w:sz w:val="24"/>
          <w:szCs w:val="24"/>
        </w:rPr>
      </w:pPr>
      <w:r w:rsidRPr="003567F0">
        <w:rPr>
          <w:rFonts w:asciiTheme="minorHAnsi" w:hAnsiTheme="minorHAnsi" w:cstheme="minorHAnsi"/>
          <w:color w:val="000000"/>
          <w:sz w:val="24"/>
          <w:szCs w:val="24"/>
        </w:rPr>
        <w:t>4.</w:t>
      </w:r>
      <w:r>
        <w:rPr>
          <w:rFonts w:asciiTheme="minorHAnsi" w:hAnsiTheme="minorHAnsi" w:cstheme="minorHAnsi"/>
          <w:color w:val="000000"/>
          <w:sz w:val="24"/>
          <w:szCs w:val="24"/>
        </w:rPr>
        <w:t>1</w:t>
      </w:r>
      <w:r>
        <w:rPr>
          <w:rFonts w:asciiTheme="minorHAnsi" w:hAnsiTheme="minorHAnsi" w:cstheme="minorHAnsi"/>
          <w:color w:val="000000"/>
          <w:sz w:val="24"/>
          <w:szCs w:val="24"/>
        </w:rPr>
        <w:tab/>
      </w:r>
      <w:r w:rsidR="00ED19E5" w:rsidRPr="003567F0">
        <w:rPr>
          <w:rFonts w:asciiTheme="minorHAnsi" w:hAnsiTheme="minorHAnsi" w:cstheme="minorHAnsi"/>
          <w:color w:val="000000"/>
          <w:sz w:val="24"/>
          <w:szCs w:val="24"/>
        </w:rPr>
        <w:t xml:space="preserve">WMO’s </w:t>
      </w:r>
      <w:r w:rsidR="005038A2" w:rsidRPr="003567F0">
        <w:rPr>
          <w:rFonts w:asciiTheme="minorHAnsi" w:hAnsiTheme="minorHAnsi" w:cstheme="minorHAnsi"/>
          <w:color w:val="000000"/>
          <w:sz w:val="24"/>
          <w:szCs w:val="24"/>
        </w:rPr>
        <w:t xml:space="preserve">World Weather Research Programme (WWRP) also has a longstanding </w:t>
      </w:r>
      <w:r w:rsidR="00742A8F" w:rsidRPr="003567F0">
        <w:rPr>
          <w:rFonts w:asciiTheme="minorHAnsi" w:hAnsiTheme="minorHAnsi" w:cstheme="minorHAnsi"/>
          <w:color w:val="000000"/>
          <w:sz w:val="24"/>
          <w:szCs w:val="24"/>
        </w:rPr>
        <w:t>targeted focus on monsoon, as part of its Working Group on Tropical Meteorology Research</w:t>
      </w:r>
      <w:r w:rsidR="00985EE9" w:rsidRPr="003567F0">
        <w:rPr>
          <w:rFonts w:asciiTheme="minorHAnsi" w:hAnsiTheme="minorHAnsi" w:cstheme="minorHAnsi"/>
          <w:color w:val="000000"/>
          <w:sz w:val="24"/>
          <w:szCs w:val="24"/>
        </w:rPr>
        <w:t xml:space="preserve"> (WGTMR).  WGTMR has a dedicated </w:t>
      </w:r>
      <w:r w:rsidR="00E03A3A" w:rsidRPr="003567F0">
        <w:rPr>
          <w:rFonts w:asciiTheme="minorHAnsi" w:hAnsiTheme="minorHAnsi" w:cstheme="minorHAnsi"/>
          <w:color w:val="000000"/>
          <w:sz w:val="24"/>
          <w:szCs w:val="24"/>
        </w:rPr>
        <w:t>Monsoon Panel</w:t>
      </w:r>
      <w:r w:rsidR="008C334B">
        <w:rPr>
          <w:rStyle w:val="FootnoteReference"/>
          <w:rFonts w:asciiTheme="minorHAnsi" w:hAnsiTheme="minorHAnsi" w:cstheme="minorHAnsi"/>
          <w:color w:val="000000"/>
          <w:sz w:val="24"/>
          <w:szCs w:val="24"/>
        </w:rPr>
        <w:footnoteReference w:id="2"/>
      </w:r>
      <w:r w:rsidR="00E03A3A" w:rsidRPr="003567F0">
        <w:rPr>
          <w:rFonts w:asciiTheme="minorHAnsi" w:hAnsiTheme="minorHAnsi" w:cstheme="minorHAnsi"/>
          <w:color w:val="000000"/>
          <w:sz w:val="24"/>
          <w:szCs w:val="24"/>
        </w:rPr>
        <w:t xml:space="preserve">, </w:t>
      </w:r>
      <w:r w:rsidR="00B10FEC" w:rsidRPr="003567F0">
        <w:rPr>
          <w:rFonts w:asciiTheme="minorHAnsi" w:hAnsiTheme="minorHAnsi" w:cstheme="minorHAnsi"/>
          <w:color w:val="000000"/>
          <w:sz w:val="24"/>
          <w:szCs w:val="24"/>
        </w:rPr>
        <w:t xml:space="preserve">which in turn has expert teams </w:t>
      </w:r>
      <w:r w:rsidR="001B6FAF" w:rsidRPr="003567F0">
        <w:rPr>
          <w:rFonts w:asciiTheme="minorHAnsi" w:hAnsiTheme="minorHAnsi" w:cstheme="minorHAnsi"/>
          <w:color w:val="000000"/>
          <w:sz w:val="24"/>
          <w:szCs w:val="24"/>
        </w:rPr>
        <w:t>working on severe monsoon weather and</w:t>
      </w:r>
      <w:r w:rsidR="00DE33D0" w:rsidRPr="003567F0">
        <w:rPr>
          <w:rFonts w:asciiTheme="minorHAnsi" w:hAnsiTheme="minorHAnsi" w:cstheme="minorHAnsi"/>
          <w:color w:val="000000"/>
          <w:sz w:val="24"/>
          <w:szCs w:val="24"/>
        </w:rPr>
        <w:t xml:space="preserve"> impacts of climate change on monsoon weather.</w:t>
      </w:r>
      <w:r w:rsidR="00242C87" w:rsidRPr="003567F0">
        <w:rPr>
          <w:rFonts w:asciiTheme="minorHAnsi" w:hAnsiTheme="minorHAnsi" w:cstheme="minorHAnsi"/>
          <w:color w:val="000000"/>
          <w:sz w:val="24"/>
          <w:szCs w:val="24"/>
        </w:rPr>
        <w:t xml:space="preserve"> </w:t>
      </w:r>
    </w:p>
    <w:p w14:paraId="190DD1D7" w14:textId="77777777" w:rsidR="00134D37" w:rsidRPr="00700E99" w:rsidRDefault="00134D37" w:rsidP="00134D37">
      <w:pPr>
        <w:spacing w:after="0" w:line="240" w:lineRule="auto"/>
        <w:rPr>
          <w:sz w:val="24"/>
          <w:szCs w:val="24"/>
        </w:rPr>
      </w:pPr>
    </w:p>
    <w:p w14:paraId="67154C44" w14:textId="66193337" w:rsidR="00911D65" w:rsidRDefault="00134D37" w:rsidP="00CF6F82">
      <w:pPr>
        <w:spacing w:after="0" w:line="240" w:lineRule="auto"/>
        <w:jc w:val="both"/>
        <w:rPr>
          <w:sz w:val="24"/>
          <w:szCs w:val="24"/>
        </w:rPr>
      </w:pPr>
      <w:r w:rsidRPr="00700E99">
        <w:rPr>
          <w:sz w:val="24"/>
          <w:szCs w:val="24"/>
        </w:rPr>
        <w:t>4.2</w:t>
      </w:r>
      <w:r w:rsidRPr="00700E99">
        <w:rPr>
          <w:sz w:val="24"/>
          <w:szCs w:val="24"/>
        </w:rPr>
        <w:tab/>
      </w:r>
      <w:r w:rsidR="00441A6F" w:rsidRPr="00700E99">
        <w:rPr>
          <w:sz w:val="24"/>
          <w:szCs w:val="24"/>
        </w:rPr>
        <w:t xml:space="preserve">WWRP </w:t>
      </w:r>
      <w:r w:rsidR="00D05A2E">
        <w:rPr>
          <w:sz w:val="24"/>
          <w:szCs w:val="24"/>
        </w:rPr>
        <w:t xml:space="preserve">and WCRP </w:t>
      </w:r>
      <w:r w:rsidR="00441A6F" w:rsidRPr="00700E99">
        <w:rPr>
          <w:sz w:val="24"/>
          <w:szCs w:val="24"/>
        </w:rPr>
        <w:t xml:space="preserve">also </w:t>
      </w:r>
      <w:r w:rsidRPr="00700E99">
        <w:rPr>
          <w:sz w:val="24"/>
          <w:szCs w:val="24"/>
        </w:rPr>
        <w:t xml:space="preserve">coordinate a </w:t>
      </w:r>
      <w:r w:rsidR="0053563F" w:rsidRPr="00700E99">
        <w:rPr>
          <w:sz w:val="24"/>
          <w:szCs w:val="24"/>
        </w:rPr>
        <w:t>Sub-seasonal to Seasonal (S2S) Prediction Project</w:t>
      </w:r>
      <w:r w:rsidR="0011662F">
        <w:rPr>
          <w:rStyle w:val="FootnoteReference"/>
          <w:sz w:val="24"/>
          <w:szCs w:val="24"/>
        </w:rPr>
        <w:footnoteReference w:id="3"/>
      </w:r>
      <w:r w:rsidR="00CF6F82">
        <w:rPr>
          <w:sz w:val="24"/>
          <w:szCs w:val="24"/>
        </w:rPr>
        <w:t>,</w:t>
      </w:r>
      <w:r w:rsidR="006F22DB">
        <w:rPr>
          <w:sz w:val="24"/>
          <w:szCs w:val="24"/>
        </w:rPr>
        <w:t xml:space="preserve"> </w:t>
      </w:r>
      <w:r w:rsidR="00792CD6">
        <w:rPr>
          <w:sz w:val="24"/>
          <w:szCs w:val="24"/>
        </w:rPr>
        <w:t>which has major applications in monsoon regions</w:t>
      </w:r>
      <w:r w:rsidR="00007E2E">
        <w:rPr>
          <w:sz w:val="24"/>
          <w:szCs w:val="24"/>
        </w:rPr>
        <w:t xml:space="preserve"> that can be more effectively pursued </w:t>
      </w:r>
      <w:r w:rsidR="00F02D81">
        <w:rPr>
          <w:sz w:val="24"/>
          <w:szCs w:val="24"/>
        </w:rPr>
        <w:t>through active collaboration with the relevant monsoon groups.</w:t>
      </w:r>
      <w:r w:rsidR="008F32AE">
        <w:rPr>
          <w:sz w:val="24"/>
          <w:szCs w:val="24"/>
        </w:rPr>
        <w:t xml:space="preserve">  S2S has completed Phase I </w:t>
      </w:r>
      <w:r w:rsidR="00C54805">
        <w:rPr>
          <w:sz w:val="24"/>
          <w:szCs w:val="24"/>
        </w:rPr>
        <w:t>during 2013-17, and is currently</w:t>
      </w:r>
      <w:r w:rsidR="00BA150D">
        <w:rPr>
          <w:sz w:val="24"/>
          <w:szCs w:val="24"/>
        </w:rPr>
        <w:t xml:space="preserve"> running</w:t>
      </w:r>
      <w:r w:rsidR="00C54805">
        <w:rPr>
          <w:sz w:val="24"/>
          <w:szCs w:val="24"/>
        </w:rPr>
        <w:t xml:space="preserve"> in its Phase II </w:t>
      </w:r>
      <w:r w:rsidR="00BA150D">
        <w:rPr>
          <w:sz w:val="24"/>
          <w:szCs w:val="24"/>
        </w:rPr>
        <w:t>during 2019-23.</w:t>
      </w:r>
      <w:r w:rsidR="00DE3759">
        <w:rPr>
          <w:sz w:val="24"/>
          <w:szCs w:val="24"/>
        </w:rPr>
        <w:t xml:space="preserve">  S2S is managed by an International Coordination Office (ICO) located in the Republic of Korea.</w:t>
      </w:r>
    </w:p>
    <w:p w14:paraId="53D08DB1" w14:textId="02D8916D" w:rsidR="008A5D4F" w:rsidRDefault="008A5D4F" w:rsidP="00CF6F82">
      <w:pPr>
        <w:spacing w:after="0" w:line="240" w:lineRule="auto"/>
        <w:jc w:val="both"/>
        <w:rPr>
          <w:sz w:val="24"/>
          <w:szCs w:val="24"/>
        </w:rPr>
      </w:pPr>
    </w:p>
    <w:p w14:paraId="1A1B9E3F" w14:textId="0412F790" w:rsidR="005C7A15" w:rsidRPr="001F55B5" w:rsidRDefault="001F55B5" w:rsidP="001F55B5">
      <w:pPr>
        <w:spacing w:after="0" w:line="240" w:lineRule="auto"/>
        <w:jc w:val="both"/>
        <w:rPr>
          <w:b/>
          <w:sz w:val="24"/>
          <w:szCs w:val="24"/>
        </w:rPr>
      </w:pPr>
      <w:r w:rsidRPr="001F55B5">
        <w:rPr>
          <w:b/>
          <w:sz w:val="24"/>
          <w:szCs w:val="24"/>
        </w:rPr>
        <w:t>5.</w:t>
      </w:r>
      <w:r w:rsidRPr="001F55B5">
        <w:rPr>
          <w:b/>
          <w:sz w:val="24"/>
          <w:szCs w:val="24"/>
        </w:rPr>
        <w:tab/>
        <w:t>Future Evolution of ICMPO</w:t>
      </w:r>
    </w:p>
    <w:p w14:paraId="0508D2F7" w14:textId="77777777" w:rsidR="005C7A15" w:rsidRDefault="005C7A15" w:rsidP="00CF6F82">
      <w:pPr>
        <w:spacing w:after="0" w:line="240" w:lineRule="auto"/>
        <w:jc w:val="both"/>
        <w:rPr>
          <w:sz w:val="24"/>
          <w:szCs w:val="24"/>
        </w:rPr>
      </w:pPr>
    </w:p>
    <w:p w14:paraId="0AC3A169" w14:textId="78D0383B" w:rsidR="001F55B5" w:rsidRDefault="003F7CC1" w:rsidP="00CF6F82">
      <w:pPr>
        <w:spacing w:after="0" w:line="240" w:lineRule="auto"/>
        <w:jc w:val="both"/>
        <w:rPr>
          <w:sz w:val="24"/>
          <w:szCs w:val="24"/>
        </w:rPr>
      </w:pPr>
      <w:r>
        <w:rPr>
          <w:sz w:val="24"/>
          <w:szCs w:val="24"/>
        </w:rPr>
        <w:t>5.1</w:t>
      </w:r>
      <w:r>
        <w:rPr>
          <w:sz w:val="24"/>
          <w:szCs w:val="24"/>
        </w:rPr>
        <w:tab/>
      </w:r>
      <w:r w:rsidR="00D602D8">
        <w:rPr>
          <w:sz w:val="24"/>
          <w:szCs w:val="24"/>
        </w:rPr>
        <w:t xml:space="preserve">Based on the experience over the past 5 years of the operation of </w:t>
      </w:r>
      <w:r w:rsidR="00953AE6">
        <w:rPr>
          <w:sz w:val="24"/>
          <w:szCs w:val="24"/>
        </w:rPr>
        <w:t xml:space="preserve">ICMPO, while it helped CLIVAR to </w:t>
      </w:r>
      <w:r w:rsidR="00026217">
        <w:rPr>
          <w:sz w:val="24"/>
          <w:szCs w:val="24"/>
        </w:rPr>
        <w:t>have a dedicated support for</w:t>
      </w:r>
      <w:r w:rsidR="00E474AC">
        <w:rPr>
          <w:sz w:val="24"/>
          <w:szCs w:val="24"/>
        </w:rPr>
        <w:t xml:space="preserve"> all</w:t>
      </w:r>
      <w:r w:rsidR="00026217">
        <w:rPr>
          <w:sz w:val="24"/>
          <w:szCs w:val="24"/>
        </w:rPr>
        <w:t xml:space="preserve"> its monsoons interests, a key </w:t>
      </w:r>
      <w:r w:rsidR="002F577F">
        <w:rPr>
          <w:sz w:val="24"/>
          <w:szCs w:val="24"/>
        </w:rPr>
        <w:t>requirement</w:t>
      </w:r>
      <w:r w:rsidR="00026217">
        <w:rPr>
          <w:sz w:val="24"/>
          <w:szCs w:val="24"/>
        </w:rPr>
        <w:t xml:space="preserve"> that </w:t>
      </w:r>
      <w:r w:rsidR="002E624E">
        <w:rPr>
          <w:sz w:val="24"/>
          <w:szCs w:val="24"/>
        </w:rPr>
        <w:t xml:space="preserve">needs to be addressed </w:t>
      </w:r>
      <w:r w:rsidR="002F577F">
        <w:rPr>
          <w:sz w:val="24"/>
          <w:szCs w:val="24"/>
        </w:rPr>
        <w:t xml:space="preserve">is a well-balanced </w:t>
      </w:r>
      <w:r w:rsidR="00FE7801">
        <w:rPr>
          <w:sz w:val="24"/>
          <w:szCs w:val="24"/>
        </w:rPr>
        <w:t xml:space="preserve">and equitable </w:t>
      </w:r>
      <w:r w:rsidR="002E1B0C">
        <w:rPr>
          <w:sz w:val="24"/>
          <w:szCs w:val="24"/>
        </w:rPr>
        <w:t>engagement of CLIVAR and GEWEX governance with the ICMPO activities.</w:t>
      </w:r>
      <w:r w:rsidR="00C67583">
        <w:rPr>
          <w:sz w:val="24"/>
          <w:szCs w:val="24"/>
        </w:rPr>
        <w:t xml:space="preserve">  ICMPO, having been established originally as one of the nodes of the ICPO, </w:t>
      </w:r>
      <w:r w:rsidR="00444A9F">
        <w:rPr>
          <w:sz w:val="24"/>
          <w:szCs w:val="24"/>
        </w:rPr>
        <w:t>d</w:t>
      </w:r>
      <w:r w:rsidR="004D0BAD">
        <w:rPr>
          <w:sz w:val="24"/>
          <w:szCs w:val="24"/>
        </w:rPr>
        <w:t>oes</w:t>
      </w:r>
      <w:r w:rsidR="00444A9F">
        <w:rPr>
          <w:sz w:val="24"/>
          <w:szCs w:val="24"/>
        </w:rPr>
        <w:t xml:space="preserve"> not have an ongoing </w:t>
      </w:r>
      <w:r w:rsidR="005B4898">
        <w:rPr>
          <w:sz w:val="24"/>
          <w:szCs w:val="24"/>
        </w:rPr>
        <w:t xml:space="preserve">formal </w:t>
      </w:r>
      <w:r w:rsidR="00CD2BC5">
        <w:rPr>
          <w:sz w:val="24"/>
          <w:szCs w:val="24"/>
        </w:rPr>
        <w:t>relationship with the GEWEX SSG or the IGPO.</w:t>
      </w:r>
    </w:p>
    <w:p w14:paraId="70DE0BE0" w14:textId="117A72FC" w:rsidR="00865856" w:rsidRDefault="00865856" w:rsidP="00CF6F82">
      <w:pPr>
        <w:spacing w:after="0" w:line="240" w:lineRule="auto"/>
        <w:jc w:val="both"/>
        <w:rPr>
          <w:sz w:val="24"/>
          <w:szCs w:val="24"/>
        </w:rPr>
      </w:pPr>
    </w:p>
    <w:p w14:paraId="05DE05A2" w14:textId="7B396B0A" w:rsidR="008F0C5D" w:rsidRDefault="005E3336" w:rsidP="00BB21D4">
      <w:pPr>
        <w:spacing w:after="0" w:line="240" w:lineRule="auto"/>
        <w:jc w:val="both"/>
        <w:rPr>
          <w:sz w:val="24"/>
          <w:szCs w:val="24"/>
        </w:rPr>
      </w:pPr>
      <w:r>
        <w:rPr>
          <w:sz w:val="24"/>
          <w:szCs w:val="24"/>
        </w:rPr>
        <w:t>5.2</w:t>
      </w:r>
      <w:r>
        <w:rPr>
          <w:sz w:val="24"/>
          <w:szCs w:val="24"/>
        </w:rPr>
        <w:tab/>
      </w:r>
      <w:r w:rsidR="00B13802">
        <w:rPr>
          <w:sz w:val="24"/>
          <w:szCs w:val="24"/>
        </w:rPr>
        <w:t xml:space="preserve">The future evolution of ICMPO should adequately </w:t>
      </w:r>
      <w:r w:rsidR="00F76DDE">
        <w:rPr>
          <w:sz w:val="24"/>
          <w:szCs w:val="24"/>
        </w:rPr>
        <w:t>consider</w:t>
      </w:r>
      <w:r w:rsidR="00B13802">
        <w:rPr>
          <w:sz w:val="24"/>
          <w:szCs w:val="24"/>
        </w:rPr>
        <w:t xml:space="preserve"> </w:t>
      </w:r>
      <w:r w:rsidR="000B0DA4">
        <w:t xml:space="preserve">future decisions made with regards to the structure of WCRP (being discussed in the March-May 2020 timeframe), </w:t>
      </w:r>
      <w:r w:rsidR="0066033E">
        <w:rPr>
          <w:sz w:val="24"/>
          <w:szCs w:val="24"/>
        </w:rPr>
        <w:t>the 2018 WCRP Review</w:t>
      </w:r>
      <w:r w:rsidR="00350F9B">
        <w:rPr>
          <w:rStyle w:val="FootnoteReference"/>
          <w:sz w:val="24"/>
          <w:szCs w:val="24"/>
        </w:rPr>
        <w:footnoteReference w:id="4"/>
      </w:r>
      <w:r w:rsidR="0066033E">
        <w:rPr>
          <w:sz w:val="24"/>
          <w:szCs w:val="24"/>
        </w:rPr>
        <w:t>,</w:t>
      </w:r>
      <w:r w:rsidR="00784B59">
        <w:rPr>
          <w:sz w:val="24"/>
          <w:szCs w:val="24"/>
        </w:rPr>
        <w:t xml:space="preserve"> </w:t>
      </w:r>
      <w:r w:rsidR="00B42DDB">
        <w:t>as well as changes to WCRP’s co-sponsors (e.g.</w:t>
      </w:r>
      <w:r w:rsidR="00F76DDE">
        <w:t>,</w:t>
      </w:r>
      <w:r w:rsidR="00B42DDB">
        <w:t xml:space="preserve"> the WMO reform)</w:t>
      </w:r>
      <w:r w:rsidR="00726AE5">
        <w:rPr>
          <w:sz w:val="24"/>
          <w:szCs w:val="24"/>
        </w:rPr>
        <w:t>.</w:t>
      </w:r>
      <w:r w:rsidR="00730A8F">
        <w:rPr>
          <w:sz w:val="24"/>
          <w:szCs w:val="24"/>
        </w:rPr>
        <w:t xml:space="preserve">  While these </w:t>
      </w:r>
      <w:r w:rsidR="00F4023F">
        <w:rPr>
          <w:sz w:val="24"/>
          <w:szCs w:val="24"/>
        </w:rPr>
        <w:t>ongoing developments</w:t>
      </w:r>
      <w:r w:rsidR="00EA5AB9">
        <w:rPr>
          <w:sz w:val="24"/>
          <w:szCs w:val="24"/>
        </w:rPr>
        <w:t xml:space="preserve"> may take some time to </w:t>
      </w:r>
      <w:r w:rsidR="004C1E9C">
        <w:rPr>
          <w:sz w:val="24"/>
          <w:szCs w:val="24"/>
        </w:rPr>
        <w:t>stabilize</w:t>
      </w:r>
      <w:r w:rsidR="00EA5AB9">
        <w:rPr>
          <w:sz w:val="24"/>
          <w:szCs w:val="24"/>
        </w:rPr>
        <w:t xml:space="preserve">, </w:t>
      </w:r>
      <w:r w:rsidR="005556F8">
        <w:rPr>
          <w:sz w:val="24"/>
          <w:szCs w:val="24"/>
        </w:rPr>
        <w:t>future responsibilities of ICMPO will depend upon how monsoon research is organized in the new structure</w:t>
      </w:r>
      <w:r w:rsidR="00BF4ACE">
        <w:rPr>
          <w:sz w:val="24"/>
          <w:szCs w:val="24"/>
        </w:rPr>
        <w:t>(s)</w:t>
      </w:r>
      <w:r w:rsidR="005556F8">
        <w:rPr>
          <w:sz w:val="24"/>
          <w:szCs w:val="24"/>
        </w:rPr>
        <w:t>.</w:t>
      </w:r>
    </w:p>
    <w:p w14:paraId="356A9E65" w14:textId="77777777" w:rsidR="008F0C5D" w:rsidRDefault="008F0C5D" w:rsidP="00BB21D4">
      <w:pPr>
        <w:spacing w:after="0" w:line="240" w:lineRule="auto"/>
        <w:jc w:val="both"/>
        <w:rPr>
          <w:sz w:val="24"/>
          <w:szCs w:val="24"/>
        </w:rPr>
      </w:pPr>
    </w:p>
    <w:p w14:paraId="54D91104" w14:textId="21AD3F31" w:rsidR="00BB21D4" w:rsidRPr="00BB21D4" w:rsidRDefault="00865856" w:rsidP="00BB21D4">
      <w:pPr>
        <w:spacing w:after="0" w:line="240" w:lineRule="auto"/>
        <w:jc w:val="both"/>
        <w:rPr>
          <w:sz w:val="24"/>
          <w:szCs w:val="24"/>
        </w:rPr>
      </w:pPr>
      <w:r>
        <w:rPr>
          <w:sz w:val="24"/>
          <w:szCs w:val="24"/>
        </w:rPr>
        <w:t>5.</w:t>
      </w:r>
      <w:r w:rsidR="008F0C5D">
        <w:rPr>
          <w:sz w:val="24"/>
          <w:szCs w:val="24"/>
        </w:rPr>
        <w:t>3</w:t>
      </w:r>
      <w:r>
        <w:rPr>
          <w:sz w:val="24"/>
          <w:szCs w:val="24"/>
        </w:rPr>
        <w:tab/>
      </w:r>
      <w:r w:rsidR="00BB21D4" w:rsidRPr="00BB21D4">
        <w:rPr>
          <w:sz w:val="24"/>
          <w:szCs w:val="24"/>
        </w:rPr>
        <w:t xml:space="preserve">The </w:t>
      </w:r>
      <w:r w:rsidR="00BB21D4">
        <w:rPr>
          <w:sz w:val="24"/>
          <w:szCs w:val="24"/>
        </w:rPr>
        <w:t xml:space="preserve">2018 </w:t>
      </w:r>
      <w:r w:rsidR="00BB21D4" w:rsidRPr="00BB21D4">
        <w:rPr>
          <w:sz w:val="24"/>
          <w:szCs w:val="24"/>
        </w:rPr>
        <w:t xml:space="preserve">WCRP Review </w:t>
      </w:r>
      <w:r w:rsidR="00523D70">
        <w:rPr>
          <w:sz w:val="24"/>
          <w:szCs w:val="24"/>
        </w:rPr>
        <w:t>noted</w:t>
      </w:r>
      <w:r w:rsidR="00523D70" w:rsidRPr="00BB21D4">
        <w:rPr>
          <w:sz w:val="24"/>
          <w:szCs w:val="24"/>
        </w:rPr>
        <w:t xml:space="preserve"> </w:t>
      </w:r>
      <w:r w:rsidR="00BB21D4" w:rsidRPr="00BB21D4">
        <w:rPr>
          <w:sz w:val="24"/>
          <w:szCs w:val="24"/>
        </w:rPr>
        <w:t>that th</w:t>
      </w:r>
      <w:r w:rsidR="004F5229">
        <w:rPr>
          <w:sz w:val="24"/>
          <w:szCs w:val="24"/>
        </w:rPr>
        <w:t>e</w:t>
      </w:r>
      <w:r w:rsidR="00BB21D4" w:rsidRPr="00BB21D4">
        <w:rPr>
          <w:sz w:val="24"/>
          <w:szCs w:val="24"/>
        </w:rPr>
        <w:t xml:space="preserve"> synergy</w:t>
      </w:r>
      <w:r w:rsidR="004F5229">
        <w:rPr>
          <w:sz w:val="24"/>
          <w:szCs w:val="24"/>
        </w:rPr>
        <w:t xml:space="preserve"> </w:t>
      </w:r>
      <w:r w:rsidR="00BB21D4" w:rsidRPr="00BB21D4">
        <w:rPr>
          <w:sz w:val="24"/>
          <w:szCs w:val="24"/>
        </w:rPr>
        <w:t xml:space="preserve">between WWRP and WCRP </w:t>
      </w:r>
      <w:r w:rsidR="00335503">
        <w:rPr>
          <w:sz w:val="24"/>
          <w:szCs w:val="24"/>
        </w:rPr>
        <w:t>wa</w:t>
      </w:r>
      <w:r w:rsidR="00BB21D4" w:rsidRPr="00BB21D4">
        <w:rPr>
          <w:sz w:val="24"/>
          <w:szCs w:val="24"/>
        </w:rPr>
        <w:t>s not being fully capitalized</w:t>
      </w:r>
      <w:r w:rsidR="00335503">
        <w:rPr>
          <w:sz w:val="24"/>
          <w:szCs w:val="24"/>
        </w:rPr>
        <w:t xml:space="preserve"> </w:t>
      </w:r>
      <w:r w:rsidR="00BB21D4" w:rsidRPr="00BB21D4">
        <w:rPr>
          <w:sz w:val="24"/>
          <w:szCs w:val="24"/>
        </w:rPr>
        <w:t>upon at the moment</w:t>
      </w:r>
      <w:r w:rsidR="00052E4B">
        <w:rPr>
          <w:sz w:val="24"/>
          <w:szCs w:val="24"/>
        </w:rPr>
        <w:t xml:space="preserve">, with several </w:t>
      </w:r>
      <w:r w:rsidR="00BB21D4" w:rsidRPr="00BB21D4">
        <w:rPr>
          <w:sz w:val="24"/>
          <w:szCs w:val="24"/>
        </w:rPr>
        <w:t>examples</w:t>
      </w:r>
      <w:r w:rsidR="00052E4B">
        <w:rPr>
          <w:sz w:val="24"/>
          <w:szCs w:val="24"/>
        </w:rPr>
        <w:t xml:space="preserve"> </w:t>
      </w:r>
      <w:r w:rsidR="00BB21D4" w:rsidRPr="00BB21D4">
        <w:rPr>
          <w:sz w:val="24"/>
          <w:szCs w:val="24"/>
        </w:rPr>
        <w:t>of parallel initiatives</w:t>
      </w:r>
      <w:r w:rsidR="00052E4B">
        <w:rPr>
          <w:sz w:val="24"/>
          <w:szCs w:val="24"/>
        </w:rPr>
        <w:t xml:space="preserve">, </w:t>
      </w:r>
      <w:r w:rsidR="00BB21D4" w:rsidRPr="00BB21D4">
        <w:rPr>
          <w:sz w:val="24"/>
          <w:szCs w:val="24"/>
        </w:rPr>
        <w:t>where these would have benefited</w:t>
      </w:r>
      <w:r w:rsidR="00052E4B">
        <w:rPr>
          <w:sz w:val="24"/>
          <w:szCs w:val="24"/>
        </w:rPr>
        <w:t xml:space="preserve"> </w:t>
      </w:r>
      <w:r w:rsidR="00BB21D4" w:rsidRPr="00BB21D4">
        <w:rPr>
          <w:sz w:val="24"/>
          <w:szCs w:val="24"/>
        </w:rPr>
        <w:t>from greater alignment through a rigorous co-design</w:t>
      </w:r>
      <w:r w:rsidR="00E716E0">
        <w:rPr>
          <w:sz w:val="24"/>
          <w:szCs w:val="24"/>
        </w:rPr>
        <w:t xml:space="preserve"> </w:t>
      </w:r>
      <w:r w:rsidR="00BB21D4" w:rsidRPr="00BB21D4">
        <w:rPr>
          <w:sz w:val="24"/>
          <w:szCs w:val="24"/>
        </w:rPr>
        <w:t>phase in which WWRP and WCRP worked together</w:t>
      </w:r>
      <w:r w:rsidR="00E716E0">
        <w:rPr>
          <w:sz w:val="24"/>
          <w:szCs w:val="24"/>
        </w:rPr>
        <w:t xml:space="preserve"> </w:t>
      </w:r>
      <w:r w:rsidR="00BB21D4" w:rsidRPr="00BB21D4">
        <w:rPr>
          <w:sz w:val="24"/>
          <w:szCs w:val="24"/>
        </w:rPr>
        <w:t>to ensure</w:t>
      </w:r>
      <w:r w:rsidR="00B82086">
        <w:rPr>
          <w:sz w:val="24"/>
          <w:szCs w:val="24"/>
        </w:rPr>
        <w:t xml:space="preserve"> that</w:t>
      </w:r>
      <w:r w:rsidR="00BB21D4" w:rsidRPr="00BB21D4">
        <w:rPr>
          <w:sz w:val="24"/>
          <w:szCs w:val="24"/>
        </w:rPr>
        <w:t xml:space="preserve"> the initiatives</w:t>
      </w:r>
      <w:r w:rsidR="00E716E0">
        <w:rPr>
          <w:sz w:val="24"/>
          <w:szCs w:val="24"/>
        </w:rPr>
        <w:t xml:space="preserve"> </w:t>
      </w:r>
      <w:r w:rsidR="00BB21D4" w:rsidRPr="00BB21D4">
        <w:rPr>
          <w:sz w:val="24"/>
          <w:szCs w:val="24"/>
        </w:rPr>
        <w:t>realized and maximized the synergies.</w:t>
      </w:r>
      <w:r w:rsidR="005E7520">
        <w:rPr>
          <w:sz w:val="24"/>
          <w:szCs w:val="24"/>
        </w:rPr>
        <w:t xml:space="preserve">  Therefore, </w:t>
      </w:r>
      <w:r w:rsidR="00BB21D4" w:rsidRPr="00BB21D4">
        <w:rPr>
          <w:sz w:val="24"/>
          <w:szCs w:val="24"/>
        </w:rPr>
        <w:t xml:space="preserve">the </w:t>
      </w:r>
      <w:r w:rsidR="00523D70">
        <w:rPr>
          <w:sz w:val="24"/>
          <w:szCs w:val="24"/>
        </w:rPr>
        <w:t>Review</w:t>
      </w:r>
      <w:r w:rsidR="00BB21D4" w:rsidRPr="00BB21D4">
        <w:rPr>
          <w:sz w:val="24"/>
          <w:szCs w:val="24"/>
        </w:rPr>
        <w:t xml:space="preserve"> recommend</w:t>
      </w:r>
      <w:r w:rsidR="005E7520">
        <w:rPr>
          <w:sz w:val="24"/>
          <w:szCs w:val="24"/>
        </w:rPr>
        <w:t>ed</w:t>
      </w:r>
      <w:r w:rsidR="00BB21D4" w:rsidRPr="00BB21D4">
        <w:rPr>
          <w:sz w:val="24"/>
          <w:szCs w:val="24"/>
        </w:rPr>
        <w:t xml:space="preserve"> that WCRP</w:t>
      </w:r>
      <w:r w:rsidR="000D45F1">
        <w:rPr>
          <w:sz w:val="24"/>
          <w:szCs w:val="24"/>
        </w:rPr>
        <w:t xml:space="preserve"> </w:t>
      </w:r>
      <w:r w:rsidR="00BB21D4" w:rsidRPr="00BB21D4">
        <w:rPr>
          <w:sz w:val="24"/>
          <w:szCs w:val="24"/>
        </w:rPr>
        <w:t>be pro-active in establishing a process of full engagement</w:t>
      </w:r>
      <w:r w:rsidR="000D45F1">
        <w:rPr>
          <w:sz w:val="24"/>
          <w:szCs w:val="24"/>
        </w:rPr>
        <w:t xml:space="preserve"> </w:t>
      </w:r>
      <w:r w:rsidR="00BB21D4" w:rsidRPr="00BB21D4">
        <w:rPr>
          <w:sz w:val="24"/>
          <w:szCs w:val="24"/>
        </w:rPr>
        <w:t>with WWRP via the practice of co-design of</w:t>
      </w:r>
      <w:r w:rsidR="00746E75">
        <w:rPr>
          <w:sz w:val="24"/>
          <w:szCs w:val="24"/>
        </w:rPr>
        <w:t xml:space="preserve"> </w:t>
      </w:r>
      <w:r w:rsidR="00BB21D4" w:rsidRPr="00BB21D4">
        <w:rPr>
          <w:sz w:val="24"/>
          <w:szCs w:val="24"/>
        </w:rPr>
        <w:t>projects to exploit the synergies that seamlessness</w:t>
      </w:r>
      <w:r w:rsidR="00746E75">
        <w:rPr>
          <w:sz w:val="24"/>
          <w:szCs w:val="24"/>
        </w:rPr>
        <w:t xml:space="preserve"> </w:t>
      </w:r>
      <w:r w:rsidR="00BB21D4" w:rsidRPr="00BB21D4">
        <w:rPr>
          <w:sz w:val="24"/>
          <w:szCs w:val="24"/>
        </w:rPr>
        <w:t>offers.</w:t>
      </w:r>
    </w:p>
    <w:p w14:paraId="2D5B0215" w14:textId="4A71B443" w:rsidR="001F55B5" w:rsidRDefault="001F55B5" w:rsidP="00CF6F82">
      <w:pPr>
        <w:spacing w:after="0" w:line="240" w:lineRule="auto"/>
        <w:jc w:val="both"/>
        <w:rPr>
          <w:sz w:val="24"/>
          <w:szCs w:val="24"/>
        </w:rPr>
      </w:pPr>
    </w:p>
    <w:p w14:paraId="071D3D9E" w14:textId="1AB9BB27" w:rsidR="00635444" w:rsidRDefault="00635444" w:rsidP="00CF6F82">
      <w:pPr>
        <w:spacing w:after="0" w:line="240" w:lineRule="auto"/>
        <w:jc w:val="both"/>
        <w:rPr>
          <w:sz w:val="24"/>
          <w:szCs w:val="24"/>
        </w:rPr>
      </w:pPr>
      <w:r>
        <w:rPr>
          <w:sz w:val="24"/>
          <w:szCs w:val="24"/>
        </w:rPr>
        <w:t>5.4</w:t>
      </w:r>
      <w:r>
        <w:rPr>
          <w:sz w:val="24"/>
          <w:szCs w:val="24"/>
        </w:rPr>
        <w:tab/>
        <w:t xml:space="preserve">Another important aspect that needs to be factored into ICMPO </w:t>
      </w:r>
      <w:r w:rsidR="0088175E">
        <w:rPr>
          <w:sz w:val="24"/>
          <w:szCs w:val="24"/>
        </w:rPr>
        <w:t xml:space="preserve">future </w:t>
      </w:r>
      <w:r w:rsidR="000B6BA0">
        <w:rPr>
          <w:sz w:val="24"/>
          <w:szCs w:val="24"/>
        </w:rPr>
        <w:t xml:space="preserve">planning is the ongoing major WMO Reform as per the decisions of the Eighteenth World Meteorological Congress.  </w:t>
      </w:r>
      <w:r w:rsidR="00553119">
        <w:rPr>
          <w:sz w:val="24"/>
          <w:szCs w:val="24"/>
        </w:rPr>
        <w:t xml:space="preserve">While the Reform itself is on an unprecedented scale and historic, the element of direct </w:t>
      </w:r>
      <w:r w:rsidR="00C907AC">
        <w:rPr>
          <w:sz w:val="24"/>
          <w:szCs w:val="24"/>
        </w:rPr>
        <w:t>consequence</w:t>
      </w:r>
      <w:r w:rsidR="00553119">
        <w:rPr>
          <w:sz w:val="24"/>
          <w:szCs w:val="24"/>
        </w:rPr>
        <w:t xml:space="preserve"> </w:t>
      </w:r>
      <w:r w:rsidR="00DD465C">
        <w:rPr>
          <w:sz w:val="24"/>
          <w:szCs w:val="24"/>
        </w:rPr>
        <w:t xml:space="preserve">to ICMPO is the constitution of the new Research Board </w:t>
      </w:r>
      <w:r w:rsidR="0092052D" w:rsidRPr="0092052D">
        <w:rPr>
          <w:sz w:val="24"/>
          <w:szCs w:val="24"/>
        </w:rPr>
        <w:t xml:space="preserve">on Weather, Climate, Water and the Environment </w:t>
      </w:r>
      <w:r w:rsidR="00F5215A">
        <w:rPr>
          <w:sz w:val="24"/>
          <w:szCs w:val="24"/>
        </w:rPr>
        <w:t>that</w:t>
      </w:r>
      <w:r w:rsidR="0092052D" w:rsidRPr="0092052D">
        <w:rPr>
          <w:sz w:val="24"/>
          <w:szCs w:val="24"/>
        </w:rPr>
        <w:t xml:space="preserve"> translates the strategic aims </w:t>
      </w:r>
      <w:r w:rsidR="0099159E">
        <w:rPr>
          <w:sz w:val="24"/>
          <w:szCs w:val="24"/>
        </w:rPr>
        <w:t xml:space="preserve">and decisions </w:t>
      </w:r>
      <w:r w:rsidR="0092052D" w:rsidRPr="0092052D">
        <w:rPr>
          <w:sz w:val="24"/>
          <w:szCs w:val="24"/>
        </w:rPr>
        <w:t>of WMO into overarching research priorities, and ensures the implementation and coordination of the research programmes to achieve these priorities.</w:t>
      </w:r>
      <w:r w:rsidR="00C91E02">
        <w:rPr>
          <w:sz w:val="24"/>
          <w:szCs w:val="24"/>
        </w:rPr>
        <w:t xml:space="preserve">  One of the key terms of reference of the Research Board is </w:t>
      </w:r>
      <w:r w:rsidR="00FC5842">
        <w:rPr>
          <w:sz w:val="24"/>
          <w:szCs w:val="24"/>
        </w:rPr>
        <w:t>to i</w:t>
      </w:r>
      <w:r w:rsidR="00FC5842" w:rsidRPr="00FC5842">
        <w:rPr>
          <w:sz w:val="24"/>
          <w:szCs w:val="24"/>
        </w:rPr>
        <w:t xml:space="preserve">nitiate, coordinate and promote research activities in weather, climate, water and related environmental aspects through the WMO and co-sponsored research programmes (WCRP, GCOS, GOOS, WWRP, </w:t>
      </w:r>
      <w:r w:rsidR="00FC5842" w:rsidRPr="00FC5842">
        <w:rPr>
          <w:sz w:val="24"/>
          <w:szCs w:val="24"/>
        </w:rPr>
        <w:lastRenderedPageBreak/>
        <w:t>GAW and possible future research programmes)</w:t>
      </w:r>
      <w:r w:rsidR="00FC5842">
        <w:rPr>
          <w:sz w:val="24"/>
          <w:szCs w:val="24"/>
        </w:rPr>
        <w:t xml:space="preserve">.  </w:t>
      </w:r>
      <w:r w:rsidR="00460F6E">
        <w:rPr>
          <w:sz w:val="24"/>
          <w:szCs w:val="24"/>
        </w:rPr>
        <w:t xml:space="preserve">It is important for ICMPO to be appropriately linked with the </w:t>
      </w:r>
      <w:r w:rsidR="006A3EBD">
        <w:rPr>
          <w:sz w:val="24"/>
          <w:szCs w:val="24"/>
        </w:rPr>
        <w:t>monsoon-relevant substructures of the Research Board.</w:t>
      </w:r>
      <w:r w:rsidR="00523D70">
        <w:rPr>
          <w:sz w:val="24"/>
          <w:szCs w:val="24"/>
        </w:rPr>
        <w:t xml:space="preserve"> Likewise from the perspective of WCRP’s other co-sponsors it is important to ensure that their aims and requirements are taken into account with regards to monsoon activities.</w:t>
      </w:r>
    </w:p>
    <w:p w14:paraId="7B7345AB" w14:textId="77777777" w:rsidR="00207E18" w:rsidRDefault="00207E18" w:rsidP="00CF6F82">
      <w:pPr>
        <w:spacing w:after="0" w:line="240" w:lineRule="auto"/>
        <w:jc w:val="both"/>
        <w:rPr>
          <w:sz w:val="24"/>
          <w:szCs w:val="24"/>
        </w:rPr>
      </w:pPr>
    </w:p>
    <w:p w14:paraId="6BB408C2" w14:textId="3AFC1751" w:rsidR="00867D8F" w:rsidRPr="002F6C33" w:rsidRDefault="00867D8F" w:rsidP="00867D8F">
      <w:pPr>
        <w:spacing w:after="0" w:line="240" w:lineRule="auto"/>
        <w:jc w:val="both"/>
        <w:rPr>
          <w:b/>
          <w:sz w:val="24"/>
          <w:szCs w:val="24"/>
        </w:rPr>
      </w:pPr>
      <w:r w:rsidRPr="002F6C33">
        <w:rPr>
          <w:b/>
          <w:sz w:val="24"/>
          <w:szCs w:val="24"/>
        </w:rPr>
        <w:t>6.</w:t>
      </w:r>
      <w:r w:rsidRPr="002F6C33">
        <w:rPr>
          <w:b/>
          <w:sz w:val="24"/>
          <w:szCs w:val="24"/>
        </w:rPr>
        <w:tab/>
        <w:t xml:space="preserve">Towards </w:t>
      </w:r>
      <w:r w:rsidR="00577CF2">
        <w:rPr>
          <w:b/>
          <w:sz w:val="24"/>
          <w:szCs w:val="24"/>
        </w:rPr>
        <w:t xml:space="preserve">a </w:t>
      </w:r>
      <w:r w:rsidR="007D4BF3">
        <w:rPr>
          <w:b/>
          <w:sz w:val="24"/>
          <w:szCs w:val="24"/>
        </w:rPr>
        <w:t>joint WCRP/WWR</w:t>
      </w:r>
      <w:r w:rsidR="00577CF2">
        <w:rPr>
          <w:b/>
          <w:sz w:val="24"/>
          <w:szCs w:val="24"/>
        </w:rPr>
        <w:t>P</w:t>
      </w:r>
      <w:r w:rsidRPr="002F6C33">
        <w:rPr>
          <w:b/>
          <w:sz w:val="24"/>
          <w:szCs w:val="24"/>
        </w:rPr>
        <w:t xml:space="preserve"> </w:t>
      </w:r>
      <w:r w:rsidR="002F6C33" w:rsidRPr="002F6C33">
        <w:rPr>
          <w:b/>
          <w:sz w:val="24"/>
          <w:szCs w:val="24"/>
        </w:rPr>
        <w:t>Monsoon Research Coordination</w:t>
      </w:r>
    </w:p>
    <w:p w14:paraId="2AD95179" w14:textId="77777777" w:rsidR="00867D8F" w:rsidRDefault="00867D8F" w:rsidP="00CF6F82">
      <w:pPr>
        <w:spacing w:after="0" w:line="240" w:lineRule="auto"/>
        <w:jc w:val="both"/>
        <w:rPr>
          <w:sz w:val="24"/>
          <w:szCs w:val="24"/>
        </w:rPr>
      </w:pPr>
    </w:p>
    <w:p w14:paraId="494FB912" w14:textId="4C984087" w:rsidR="008A5D4F" w:rsidRDefault="002F6C33" w:rsidP="00CF6F82">
      <w:pPr>
        <w:spacing w:after="0" w:line="240" w:lineRule="auto"/>
        <w:jc w:val="both"/>
        <w:rPr>
          <w:sz w:val="24"/>
          <w:szCs w:val="24"/>
        </w:rPr>
      </w:pPr>
      <w:r>
        <w:rPr>
          <w:sz w:val="24"/>
          <w:szCs w:val="24"/>
        </w:rPr>
        <w:t>6</w:t>
      </w:r>
      <w:r w:rsidR="008A5D4F">
        <w:rPr>
          <w:sz w:val="24"/>
          <w:szCs w:val="24"/>
        </w:rPr>
        <w:t>.</w:t>
      </w:r>
      <w:r>
        <w:rPr>
          <w:sz w:val="24"/>
          <w:szCs w:val="24"/>
        </w:rPr>
        <w:t>1</w:t>
      </w:r>
      <w:r w:rsidR="008A5D4F">
        <w:rPr>
          <w:sz w:val="24"/>
          <w:szCs w:val="24"/>
        </w:rPr>
        <w:tab/>
        <w:t xml:space="preserve">It is proposed to </w:t>
      </w:r>
      <w:r w:rsidR="00E95914">
        <w:rPr>
          <w:sz w:val="24"/>
          <w:szCs w:val="24"/>
        </w:rPr>
        <w:t xml:space="preserve">consolidate all the monsoon research activities </w:t>
      </w:r>
      <w:r w:rsidR="00523D70">
        <w:rPr>
          <w:sz w:val="24"/>
          <w:szCs w:val="24"/>
        </w:rPr>
        <w:t>of</w:t>
      </w:r>
      <w:r w:rsidR="005739F3">
        <w:rPr>
          <w:sz w:val="24"/>
          <w:szCs w:val="24"/>
        </w:rPr>
        <w:t xml:space="preserve"> </w:t>
      </w:r>
      <w:r w:rsidR="003B7F40">
        <w:rPr>
          <w:sz w:val="24"/>
          <w:szCs w:val="24"/>
        </w:rPr>
        <w:t xml:space="preserve">both WCRP and WWRP, </w:t>
      </w:r>
      <w:r w:rsidR="00877BF9">
        <w:rPr>
          <w:sz w:val="24"/>
          <w:szCs w:val="24"/>
        </w:rPr>
        <w:t>and organize support to the relevant expert groups and governing structure</w:t>
      </w:r>
      <w:r w:rsidR="002D679B">
        <w:rPr>
          <w:sz w:val="24"/>
          <w:szCs w:val="24"/>
        </w:rPr>
        <w:t xml:space="preserve"> through a much wider </w:t>
      </w:r>
      <w:r w:rsidR="000F40FD">
        <w:rPr>
          <w:sz w:val="24"/>
          <w:szCs w:val="24"/>
        </w:rPr>
        <w:t xml:space="preserve">portfolio of the future </w:t>
      </w:r>
      <w:r w:rsidR="00CD274B">
        <w:rPr>
          <w:sz w:val="24"/>
          <w:szCs w:val="24"/>
        </w:rPr>
        <w:t>evolution of the ICMPO</w:t>
      </w:r>
      <w:r w:rsidR="00686DE6">
        <w:rPr>
          <w:sz w:val="24"/>
          <w:szCs w:val="24"/>
        </w:rPr>
        <w:t xml:space="preserve">, possibly with a changed title </w:t>
      </w:r>
      <w:r w:rsidR="00CA5722">
        <w:rPr>
          <w:sz w:val="24"/>
          <w:szCs w:val="24"/>
        </w:rPr>
        <w:t xml:space="preserve">such as </w:t>
      </w:r>
      <w:r w:rsidR="00311C52" w:rsidRPr="0099407F">
        <w:rPr>
          <w:sz w:val="24"/>
          <w:szCs w:val="24"/>
        </w:rPr>
        <w:t>WCRP/WWRP</w:t>
      </w:r>
      <w:r w:rsidR="00CA5722" w:rsidRPr="0099407F">
        <w:rPr>
          <w:sz w:val="24"/>
          <w:szCs w:val="24"/>
        </w:rPr>
        <w:t xml:space="preserve"> International Monsoon</w:t>
      </w:r>
      <w:r w:rsidR="00A8266B" w:rsidRPr="0099407F">
        <w:rPr>
          <w:sz w:val="24"/>
          <w:szCs w:val="24"/>
        </w:rPr>
        <w:t>s</w:t>
      </w:r>
      <w:r w:rsidR="00CA5722" w:rsidRPr="0099407F">
        <w:rPr>
          <w:sz w:val="24"/>
          <w:szCs w:val="24"/>
        </w:rPr>
        <w:t xml:space="preserve"> Project Office</w:t>
      </w:r>
      <w:r w:rsidR="00A8266B" w:rsidRPr="0099407F">
        <w:rPr>
          <w:sz w:val="24"/>
          <w:szCs w:val="24"/>
        </w:rPr>
        <w:t xml:space="preserve"> (WIMPO)</w:t>
      </w:r>
      <w:r w:rsidR="005F5E2E" w:rsidRPr="0099407F">
        <w:rPr>
          <w:sz w:val="24"/>
          <w:szCs w:val="24"/>
        </w:rPr>
        <w:t>.</w:t>
      </w:r>
      <w:r w:rsidR="005F5E2E">
        <w:rPr>
          <w:sz w:val="24"/>
          <w:szCs w:val="24"/>
        </w:rPr>
        <w:t xml:space="preserve">  </w:t>
      </w:r>
      <w:r w:rsidR="00CD57DC">
        <w:rPr>
          <w:sz w:val="24"/>
          <w:szCs w:val="24"/>
        </w:rPr>
        <w:t xml:space="preserve">Such consolidation can be progressively strengthened to </w:t>
      </w:r>
      <w:r w:rsidR="004C314B">
        <w:rPr>
          <w:sz w:val="24"/>
          <w:szCs w:val="24"/>
        </w:rPr>
        <w:t xml:space="preserve">evolve WIMPO into a global hub of monsoon research coordination in a seamless manner, from weather to climate change time scales and </w:t>
      </w:r>
      <w:r w:rsidR="00F27CB4">
        <w:rPr>
          <w:sz w:val="24"/>
          <w:szCs w:val="24"/>
        </w:rPr>
        <w:t xml:space="preserve">addressing all the common and </w:t>
      </w:r>
      <w:r w:rsidR="00AD7427">
        <w:rPr>
          <w:sz w:val="24"/>
          <w:szCs w:val="24"/>
        </w:rPr>
        <w:t>region-specific aspects of the monsoons around the world.</w:t>
      </w:r>
    </w:p>
    <w:p w14:paraId="7C18CE0E" w14:textId="5EA5DBBB" w:rsidR="002F6DBC" w:rsidRDefault="002F6DBC" w:rsidP="00CF6F82">
      <w:pPr>
        <w:spacing w:after="0" w:line="240" w:lineRule="auto"/>
        <w:jc w:val="both"/>
        <w:rPr>
          <w:sz w:val="24"/>
          <w:szCs w:val="24"/>
        </w:rPr>
      </w:pPr>
    </w:p>
    <w:p w14:paraId="1BEB7D76" w14:textId="02561E90" w:rsidR="002F6DBC" w:rsidRDefault="002F6DBC" w:rsidP="00CF6F82">
      <w:pPr>
        <w:spacing w:after="0" w:line="240" w:lineRule="auto"/>
        <w:jc w:val="both"/>
        <w:rPr>
          <w:sz w:val="24"/>
          <w:szCs w:val="24"/>
        </w:rPr>
      </w:pPr>
      <w:r>
        <w:rPr>
          <w:sz w:val="24"/>
          <w:szCs w:val="24"/>
        </w:rPr>
        <w:t>6.2</w:t>
      </w:r>
      <w:r>
        <w:rPr>
          <w:sz w:val="24"/>
          <w:szCs w:val="24"/>
        </w:rPr>
        <w:tab/>
      </w:r>
      <w:r w:rsidR="00DF5A71">
        <w:rPr>
          <w:sz w:val="24"/>
          <w:szCs w:val="24"/>
        </w:rPr>
        <w:t>This proposal, if agreed in principle by all the relevant stakeholders</w:t>
      </w:r>
      <w:r w:rsidR="00205A2A">
        <w:rPr>
          <w:sz w:val="24"/>
          <w:szCs w:val="24"/>
        </w:rPr>
        <w:t xml:space="preserve"> (</w:t>
      </w:r>
      <w:r w:rsidR="00327C01">
        <w:rPr>
          <w:sz w:val="24"/>
          <w:szCs w:val="24"/>
        </w:rPr>
        <w:t xml:space="preserve">CLIVAR SSG, GEWEX SSG, WCRP JSC, WWRP </w:t>
      </w:r>
      <w:r w:rsidR="00512491">
        <w:rPr>
          <w:sz w:val="24"/>
          <w:szCs w:val="24"/>
        </w:rPr>
        <w:t>SSC</w:t>
      </w:r>
      <w:r w:rsidR="009523CA">
        <w:rPr>
          <w:sz w:val="24"/>
          <w:szCs w:val="24"/>
        </w:rPr>
        <w:t xml:space="preserve"> and </w:t>
      </w:r>
      <w:r w:rsidR="00205A2A">
        <w:rPr>
          <w:sz w:val="24"/>
          <w:szCs w:val="24"/>
        </w:rPr>
        <w:t>WMO</w:t>
      </w:r>
      <w:r w:rsidR="009523CA">
        <w:rPr>
          <w:sz w:val="24"/>
          <w:szCs w:val="24"/>
        </w:rPr>
        <w:t>/WCRP</w:t>
      </w:r>
      <w:r w:rsidR="00205A2A">
        <w:rPr>
          <w:sz w:val="24"/>
          <w:szCs w:val="24"/>
        </w:rPr>
        <w:t xml:space="preserve"> Secretariat</w:t>
      </w:r>
      <w:r w:rsidR="009523CA">
        <w:rPr>
          <w:sz w:val="24"/>
          <w:szCs w:val="24"/>
        </w:rPr>
        <w:t>)</w:t>
      </w:r>
      <w:r w:rsidR="006C33E8">
        <w:rPr>
          <w:sz w:val="24"/>
          <w:szCs w:val="24"/>
        </w:rPr>
        <w:t xml:space="preserve">, can be further developed </w:t>
      </w:r>
      <w:r w:rsidR="00C35332">
        <w:rPr>
          <w:sz w:val="24"/>
          <w:szCs w:val="24"/>
        </w:rPr>
        <w:t xml:space="preserve">as more details emerge of the WMO </w:t>
      </w:r>
      <w:r w:rsidR="00D97421">
        <w:rPr>
          <w:sz w:val="24"/>
          <w:szCs w:val="24"/>
        </w:rPr>
        <w:t xml:space="preserve">Reform </w:t>
      </w:r>
      <w:r w:rsidR="00C35332">
        <w:rPr>
          <w:sz w:val="24"/>
          <w:szCs w:val="24"/>
        </w:rPr>
        <w:t xml:space="preserve">and WCRP </w:t>
      </w:r>
      <w:r w:rsidR="00D97421">
        <w:rPr>
          <w:sz w:val="24"/>
          <w:szCs w:val="24"/>
        </w:rPr>
        <w:t>Review follow-up</w:t>
      </w:r>
      <w:r w:rsidR="002C2D33">
        <w:rPr>
          <w:sz w:val="24"/>
          <w:szCs w:val="24"/>
        </w:rPr>
        <w:t>, to prepare a new formal agreement between WMO and IITM</w:t>
      </w:r>
      <w:r w:rsidR="002F0355">
        <w:rPr>
          <w:sz w:val="24"/>
          <w:szCs w:val="24"/>
        </w:rPr>
        <w:t>.</w:t>
      </w:r>
      <w:r w:rsidR="00D97421">
        <w:rPr>
          <w:sz w:val="24"/>
          <w:szCs w:val="24"/>
        </w:rPr>
        <w:t xml:space="preserve"> </w:t>
      </w:r>
      <w:r w:rsidR="003C5ADA">
        <w:rPr>
          <w:sz w:val="24"/>
          <w:szCs w:val="24"/>
        </w:rPr>
        <w:t xml:space="preserve">  The forthcoming SSG meetings of </w:t>
      </w:r>
      <w:r w:rsidR="00293B4E">
        <w:rPr>
          <w:sz w:val="24"/>
          <w:szCs w:val="24"/>
        </w:rPr>
        <w:t>GEWEX and CLIVAR, the inaugural session of the Research Board</w:t>
      </w:r>
      <w:r w:rsidR="00206906">
        <w:rPr>
          <w:sz w:val="24"/>
          <w:szCs w:val="24"/>
        </w:rPr>
        <w:t>,</w:t>
      </w:r>
      <w:r w:rsidR="00D23649">
        <w:rPr>
          <w:sz w:val="24"/>
          <w:szCs w:val="24"/>
        </w:rPr>
        <w:t xml:space="preserve"> WCRP JSC</w:t>
      </w:r>
      <w:r w:rsidR="00206906">
        <w:rPr>
          <w:sz w:val="24"/>
          <w:szCs w:val="24"/>
        </w:rPr>
        <w:t>, etc.</w:t>
      </w:r>
      <w:r w:rsidR="000920A4">
        <w:rPr>
          <w:sz w:val="24"/>
          <w:szCs w:val="24"/>
        </w:rPr>
        <w:t>, in the first half of 2020,</w:t>
      </w:r>
      <w:r w:rsidR="00206906">
        <w:rPr>
          <w:sz w:val="24"/>
          <w:szCs w:val="24"/>
        </w:rPr>
        <w:t xml:space="preserve"> may </w:t>
      </w:r>
      <w:r w:rsidR="00991236">
        <w:rPr>
          <w:sz w:val="24"/>
          <w:szCs w:val="24"/>
        </w:rPr>
        <w:t>provide an opportunity to disc</w:t>
      </w:r>
      <w:r w:rsidR="005077F9">
        <w:rPr>
          <w:sz w:val="24"/>
          <w:szCs w:val="24"/>
        </w:rPr>
        <w:t>uss and obtain feedback.</w:t>
      </w:r>
      <w:r w:rsidR="00991236">
        <w:rPr>
          <w:sz w:val="24"/>
          <w:szCs w:val="24"/>
        </w:rPr>
        <w:t xml:space="preserve"> </w:t>
      </w:r>
    </w:p>
    <w:p w14:paraId="3CDF25EC" w14:textId="57BE9DA3" w:rsidR="000920A4" w:rsidRDefault="000920A4" w:rsidP="00CF6F82">
      <w:pPr>
        <w:spacing w:after="0" w:line="240" w:lineRule="auto"/>
        <w:jc w:val="both"/>
        <w:rPr>
          <w:sz w:val="24"/>
          <w:szCs w:val="24"/>
        </w:rPr>
      </w:pPr>
    </w:p>
    <w:p w14:paraId="46B24AF5" w14:textId="78211CA5" w:rsidR="000920A4" w:rsidRPr="00700E99" w:rsidRDefault="000920A4" w:rsidP="00CF6F82">
      <w:pPr>
        <w:spacing w:after="0" w:line="240" w:lineRule="auto"/>
        <w:jc w:val="both"/>
        <w:rPr>
          <w:sz w:val="24"/>
          <w:szCs w:val="24"/>
        </w:rPr>
      </w:pPr>
      <w:r>
        <w:rPr>
          <w:sz w:val="24"/>
          <w:szCs w:val="24"/>
        </w:rPr>
        <w:t>6.3</w:t>
      </w:r>
      <w:r>
        <w:rPr>
          <w:sz w:val="24"/>
          <w:szCs w:val="24"/>
        </w:rPr>
        <w:tab/>
        <w:t xml:space="preserve">While waiting for the </w:t>
      </w:r>
      <w:r w:rsidR="00C36234">
        <w:rPr>
          <w:sz w:val="24"/>
          <w:szCs w:val="24"/>
        </w:rPr>
        <w:t xml:space="preserve">final version of the revised agreement between WMO and IITM, it is proposed that </w:t>
      </w:r>
      <w:r w:rsidR="007410D8">
        <w:rPr>
          <w:sz w:val="24"/>
          <w:szCs w:val="24"/>
        </w:rPr>
        <w:t xml:space="preserve">an extension of the present agreement </w:t>
      </w:r>
      <w:r w:rsidR="00A830EF">
        <w:rPr>
          <w:sz w:val="24"/>
          <w:szCs w:val="24"/>
        </w:rPr>
        <w:t>by one year</w:t>
      </w:r>
      <w:r w:rsidR="000D7B68">
        <w:rPr>
          <w:sz w:val="24"/>
          <w:szCs w:val="24"/>
        </w:rPr>
        <w:t xml:space="preserve"> (i.e., up to 9 February 2021)</w:t>
      </w:r>
      <w:r w:rsidR="00A830EF">
        <w:rPr>
          <w:sz w:val="24"/>
          <w:szCs w:val="24"/>
        </w:rPr>
        <w:t xml:space="preserve"> be put up for </w:t>
      </w:r>
      <w:r w:rsidR="00817CA0">
        <w:rPr>
          <w:sz w:val="24"/>
          <w:szCs w:val="24"/>
        </w:rPr>
        <w:t>approval on both the sides through exchange of letters.</w:t>
      </w:r>
    </w:p>
    <w:p w14:paraId="4D16C116" w14:textId="7CFA5316" w:rsidR="00681E91" w:rsidRPr="00700E99" w:rsidRDefault="00681E91" w:rsidP="0052030F">
      <w:pPr>
        <w:spacing w:after="0" w:line="240" w:lineRule="auto"/>
        <w:jc w:val="both"/>
        <w:rPr>
          <w:rFonts w:asciiTheme="minorHAnsi" w:hAnsiTheme="minorHAnsi" w:cstheme="minorHAnsi"/>
          <w:color w:val="000000"/>
          <w:sz w:val="24"/>
          <w:szCs w:val="24"/>
        </w:rPr>
      </w:pPr>
    </w:p>
    <w:p w14:paraId="2A527AFD" w14:textId="77777777" w:rsidR="00681E91" w:rsidRPr="000D6BF9" w:rsidRDefault="00681E91" w:rsidP="0052030F">
      <w:pPr>
        <w:spacing w:after="0" w:line="240" w:lineRule="auto"/>
        <w:jc w:val="both"/>
        <w:rPr>
          <w:rFonts w:asciiTheme="minorHAnsi" w:hAnsiTheme="minorHAnsi" w:cstheme="minorHAnsi"/>
          <w:color w:val="000000"/>
          <w:sz w:val="24"/>
          <w:szCs w:val="24"/>
        </w:rPr>
      </w:pPr>
    </w:p>
    <w:sectPr w:rsidR="00681E91" w:rsidRPr="000D6BF9" w:rsidSect="00464D3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F54F" w14:textId="77777777" w:rsidR="00B0016E" w:rsidRDefault="00B0016E" w:rsidP="00955382">
      <w:pPr>
        <w:spacing w:after="0" w:line="240" w:lineRule="auto"/>
      </w:pPr>
      <w:r>
        <w:separator/>
      </w:r>
    </w:p>
  </w:endnote>
  <w:endnote w:type="continuationSeparator" w:id="0">
    <w:p w14:paraId="13F7E1AB" w14:textId="77777777" w:rsidR="00B0016E" w:rsidRDefault="00B0016E" w:rsidP="0095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5CD0" w14:textId="77777777" w:rsidR="00CB750F" w:rsidRDefault="00CB7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86554"/>
      <w:docPartObj>
        <w:docPartGallery w:val="Page Numbers (Bottom of Page)"/>
        <w:docPartUnique/>
      </w:docPartObj>
    </w:sdtPr>
    <w:sdtEndPr>
      <w:rPr>
        <w:color w:val="7F7F7F" w:themeColor="background1" w:themeShade="7F"/>
        <w:spacing w:val="60"/>
      </w:rPr>
    </w:sdtEndPr>
    <w:sdtContent>
      <w:p w14:paraId="01507C3F" w14:textId="3449654D" w:rsidR="00955382" w:rsidRDefault="009553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5386">
          <w:rPr>
            <w:noProof/>
          </w:rPr>
          <w:t>1</w:t>
        </w:r>
        <w:r>
          <w:rPr>
            <w:noProof/>
          </w:rPr>
          <w:fldChar w:fldCharType="end"/>
        </w:r>
        <w:r>
          <w:t xml:space="preserve"> | </w:t>
        </w:r>
        <w:r>
          <w:rPr>
            <w:color w:val="7F7F7F" w:themeColor="background1" w:themeShade="7F"/>
            <w:spacing w:val="60"/>
          </w:rPr>
          <w:t>Page</w:t>
        </w:r>
      </w:p>
    </w:sdtContent>
  </w:sdt>
  <w:p w14:paraId="3EAC4B38" w14:textId="77777777" w:rsidR="00955382" w:rsidRDefault="00955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DA64" w14:textId="77777777" w:rsidR="00CB750F" w:rsidRDefault="00CB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F4691" w14:textId="77777777" w:rsidR="00B0016E" w:rsidRDefault="00B0016E" w:rsidP="00955382">
      <w:pPr>
        <w:spacing w:after="0" w:line="240" w:lineRule="auto"/>
      </w:pPr>
      <w:r>
        <w:separator/>
      </w:r>
    </w:p>
  </w:footnote>
  <w:footnote w:type="continuationSeparator" w:id="0">
    <w:p w14:paraId="04A76466" w14:textId="77777777" w:rsidR="00B0016E" w:rsidRDefault="00B0016E" w:rsidP="00955382">
      <w:pPr>
        <w:spacing w:after="0" w:line="240" w:lineRule="auto"/>
      </w:pPr>
      <w:r>
        <w:continuationSeparator/>
      </w:r>
    </w:p>
  </w:footnote>
  <w:footnote w:id="1">
    <w:p w14:paraId="7FBAAD86" w14:textId="49C6B525" w:rsidR="00F91787" w:rsidRDefault="00F91787">
      <w:pPr>
        <w:pStyle w:val="FootnoteText"/>
      </w:pPr>
      <w:r>
        <w:rPr>
          <w:rStyle w:val="FootnoteReference"/>
        </w:rPr>
        <w:footnoteRef/>
      </w:r>
      <w:r>
        <w:t xml:space="preserve"> </w:t>
      </w:r>
      <w:hyperlink r:id="rId1" w:history="1">
        <w:r w:rsidRPr="00FA515E">
          <w:rPr>
            <w:rStyle w:val="Hyperlink"/>
          </w:rPr>
          <w:t>http://www.clivar.org/clivar-panels/monsoons</w:t>
        </w:r>
      </w:hyperlink>
      <w:r>
        <w:t xml:space="preserve"> </w:t>
      </w:r>
    </w:p>
  </w:footnote>
  <w:footnote w:id="2">
    <w:p w14:paraId="654D4789" w14:textId="39C87F7A" w:rsidR="008C334B" w:rsidRDefault="008C334B">
      <w:pPr>
        <w:pStyle w:val="FootnoteText"/>
      </w:pPr>
      <w:r>
        <w:rPr>
          <w:rStyle w:val="FootnoteReference"/>
        </w:rPr>
        <w:footnoteRef/>
      </w:r>
      <w:r>
        <w:t xml:space="preserve"> </w:t>
      </w:r>
      <w:hyperlink r:id="rId2" w:history="1">
        <w:r w:rsidRPr="00FA515E">
          <w:rPr>
            <w:rStyle w:val="Hyperlink"/>
          </w:rPr>
          <w:t>https://www.wmo.int/pages/prog/arep/wwrp/tmr/monsoon-panel.html</w:t>
        </w:r>
      </w:hyperlink>
      <w:r>
        <w:t xml:space="preserve"> </w:t>
      </w:r>
    </w:p>
  </w:footnote>
  <w:footnote w:id="3">
    <w:p w14:paraId="0EDE66F0" w14:textId="2EFA04B8" w:rsidR="0011662F" w:rsidRDefault="0011662F">
      <w:pPr>
        <w:pStyle w:val="FootnoteText"/>
      </w:pPr>
      <w:r>
        <w:rPr>
          <w:rStyle w:val="FootnoteReference"/>
        </w:rPr>
        <w:footnoteRef/>
      </w:r>
      <w:r>
        <w:t xml:space="preserve"> </w:t>
      </w:r>
      <w:hyperlink r:id="rId3" w:history="1">
        <w:r w:rsidRPr="00FA515E">
          <w:rPr>
            <w:rStyle w:val="Hyperlink"/>
          </w:rPr>
          <w:t>http://s2sprediction.net/</w:t>
        </w:r>
      </w:hyperlink>
      <w:r>
        <w:t xml:space="preserve"> </w:t>
      </w:r>
    </w:p>
  </w:footnote>
  <w:footnote w:id="4">
    <w:p w14:paraId="475C29F3" w14:textId="1D4A9F80" w:rsidR="00350F9B" w:rsidRPr="004139A4" w:rsidRDefault="00350F9B" w:rsidP="00104ED5">
      <w:pPr>
        <w:pStyle w:val="FootnoteText"/>
      </w:pPr>
      <w:r w:rsidRPr="004139A4">
        <w:rPr>
          <w:rStyle w:val="FootnoteReference"/>
        </w:rPr>
        <w:footnoteRef/>
      </w:r>
      <w:r w:rsidRPr="004139A4">
        <w:t xml:space="preserve"> </w:t>
      </w:r>
      <w:hyperlink r:id="rId4" w:history="1">
        <w:r w:rsidR="00104ED5" w:rsidRPr="004139A4">
          <w:rPr>
            <w:rStyle w:val="Hyperlink"/>
          </w:rPr>
          <w:t>https://council.science/wp-content/uploads/2018/08/WCRP_Report_full_screen_16112018.pdf</w:t>
        </w:r>
      </w:hyperlink>
      <w:r w:rsidR="00104ED5" w:rsidRPr="004139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9E74" w14:textId="77777777" w:rsidR="00CB750F" w:rsidRDefault="00CB7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573520"/>
      <w:docPartObj>
        <w:docPartGallery w:val="Watermarks"/>
        <w:docPartUnique/>
      </w:docPartObj>
    </w:sdtPr>
    <w:sdtEndPr/>
    <w:sdtContent>
      <w:p w14:paraId="2AF46C9E" w14:textId="05EFF9C1" w:rsidR="00CB750F" w:rsidRDefault="00D61BAD">
        <w:pPr>
          <w:pStyle w:val="Header"/>
        </w:pPr>
        <w:r>
          <w:rPr>
            <w:noProof/>
          </w:rPr>
          <w:pict w14:anchorId="79E60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86F" w14:textId="77777777" w:rsidR="00CB750F" w:rsidRDefault="00CB7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506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2D4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EBA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929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962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C78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CE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E0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69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08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5F4B83"/>
    <w:multiLevelType w:val="hybridMultilevel"/>
    <w:tmpl w:val="5C1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E316A"/>
    <w:multiLevelType w:val="multilevel"/>
    <w:tmpl w:val="6B760BD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2F243F"/>
    <w:multiLevelType w:val="hybridMultilevel"/>
    <w:tmpl w:val="EA10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815"/>
    <w:multiLevelType w:val="hybridMultilevel"/>
    <w:tmpl w:val="19D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2468F"/>
    <w:multiLevelType w:val="hybridMultilevel"/>
    <w:tmpl w:val="9A24C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9F3AAD"/>
    <w:multiLevelType w:val="hybridMultilevel"/>
    <w:tmpl w:val="6D283464"/>
    <w:lvl w:ilvl="0" w:tplc="368CEBA4">
      <w:start w:val="1"/>
      <w:numFmt w:val="bullet"/>
      <w:lvlText w:val="•"/>
      <w:lvlJc w:val="left"/>
      <w:pPr>
        <w:ind w:left="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DBCBFD8">
      <w:start w:val="1"/>
      <w:numFmt w:val="bullet"/>
      <w:lvlText w:val="o"/>
      <w:lvlJc w:val="left"/>
      <w:pPr>
        <w:ind w:left="1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450156E">
      <w:start w:val="1"/>
      <w:numFmt w:val="bullet"/>
      <w:lvlText w:val="▪"/>
      <w:lvlJc w:val="left"/>
      <w:pPr>
        <w:ind w:left="2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38AEA8">
      <w:start w:val="1"/>
      <w:numFmt w:val="bullet"/>
      <w:lvlText w:val="•"/>
      <w:lvlJc w:val="left"/>
      <w:pPr>
        <w:ind w:left="3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0E633A">
      <w:start w:val="1"/>
      <w:numFmt w:val="bullet"/>
      <w:lvlText w:val="o"/>
      <w:lvlJc w:val="left"/>
      <w:pPr>
        <w:ind w:left="3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C87110">
      <w:start w:val="1"/>
      <w:numFmt w:val="bullet"/>
      <w:lvlText w:val="▪"/>
      <w:lvlJc w:val="left"/>
      <w:pPr>
        <w:ind w:left="4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536E198">
      <w:start w:val="1"/>
      <w:numFmt w:val="bullet"/>
      <w:lvlText w:val="•"/>
      <w:lvlJc w:val="left"/>
      <w:pPr>
        <w:ind w:left="5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BE6D44">
      <w:start w:val="1"/>
      <w:numFmt w:val="bullet"/>
      <w:lvlText w:val="o"/>
      <w:lvlJc w:val="left"/>
      <w:pPr>
        <w:ind w:left="60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70AE22">
      <w:start w:val="1"/>
      <w:numFmt w:val="bullet"/>
      <w:lvlText w:val="▪"/>
      <w:lvlJc w:val="left"/>
      <w:pPr>
        <w:ind w:left="6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E03899"/>
    <w:multiLevelType w:val="hybridMultilevel"/>
    <w:tmpl w:val="278C7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E04658"/>
    <w:multiLevelType w:val="hybridMultilevel"/>
    <w:tmpl w:val="C04A70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40D7474"/>
    <w:multiLevelType w:val="hybridMultilevel"/>
    <w:tmpl w:val="9B4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554A7"/>
    <w:multiLevelType w:val="hybridMultilevel"/>
    <w:tmpl w:val="FDFAFD3C"/>
    <w:lvl w:ilvl="0" w:tplc="25569622">
      <w:numFmt w:val="bullet"/>
      <w:lvlText w:val="•"/>
      <w:lvlJc w:val="left"/>
      <w:pPr>
        <w:ind w:left="1080" w:hanging="720"/>
      </w:pPr>
      <w:rPr>
        <w:rFonts w:ascii="Tw Cen MT" w:eastAsia="Calibri" w:hAnsi="Tw Cen MT"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8"/>
  </w:num>
  <w:num w:numId="5">
    <w:abstractNumId w:val="14"/>
  </w:num>
  <w:num w:numId="6">
    <w:abstractNumId w:val="16"/>
  </w:num>
  <w:num w:numId="7">
    <w:abstractNumId w:val="19"/>
  </w:num>
  <w:num w:numId="8">
    <w:abstractNumId w:val="15"/>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A8D"/>
    <w:rsid w:val="00001CE6"/>
    <w:rsid w:val="00004147"/>
    <w:rsid w:val="00007E2E"/>
    <w:rsid w:val="00023F6A"/>
    <w:rsid w:val="00026217"/>
    <w:rsid w:val="0003110C"/>
    <w:rsid w:val="000423FE"/>
    <w:rsid w:val="00042DA1"/>
    <w:rsid w:val="00052833"/>
    <w:rsid w:val="00052E4B"/>
    <w:rsid w:val="00066EF3"/>
    <w:rsid w:val="000920A4"/>
    <w:rsid w:val="000950F0"/>
    <w:rsid w:val="00095386"/>
    <w:rsid w:val="000B0DA4"/>
    <w:rsid w:val="000B6BA0"/>
    <w:rsid w:val="000C3E46"/>
    <w:rsid w:val="000D116B"/>
    <w:rsid w:val="000D1847"/>
    <w:rsid w:val="000D45F1"/>
    <w:rsid w:val="000D6BF9"/>
    <w:rsid w:val="000D7B68"/>
    <w:rsid w:val="000E4050"/>
    <w:rsid w:val="000E6869"/>
    <w:rsid w:val="000F40FD"/>
    <w:rsid w:val="000F613B"/>
    <w:rsid w:val="00104ED5"/>
    <w:rsid w:val="0010741A"/>
    <w:rsid w:val="001102C7"/>
    <w:rsid w:val="001132A5"/>
    <w:rsid w:val="001141AA"/>
    <w:rsid w:val="001145AA"/>
    <w:rsid w:val="0011662F"/>
    <w:rsid w:val="001216FA"/>
    <w:rsid w:val="00123FBF"/>
    <w:rsid w:val="00134D37"/>
    <w:rsid w:val="00162912"/>
    <w:rsid w:val="0017702E"/>
    <w:rsid w:val="0019073F"/>
    <w:rsid w:val="0019144B"/>
    <w:rsid w:val="001A13CC"/>
    <w:rsid w:val="001B6FAF"/>
    <w:rsid w:val="001C05ED"/>
    <w:rsid w:val="001D4A5D"/>
    <w:rsid w:val="001D66DC"/>
    <w:rsid w:val="001D6783"/>
    <w:rsid w:val="001D756D"/>
    <w:rsid w:val="001E2CA1"/>
    <w:rsid w:val="001F1D71"/>
    <w:rsid w:val="001F55B5"/>
    <w:rsid w:val="001F59D0"/>
    <w:rsid w:val="00205A2A"/>
    <w:rsid w:val="00206906"/>
    <w:rsid w:val="00207E18"/>
    <w:rsid w:val="00210E25"/>
    <w:rsid w:val="00220BC4"/>
    <w:rsid w:val="00223FB2"/>
    <w:rsid w:val="00242C87"/>
    <w:rsid w:val="00243A25"/>
    <w:rsid w:val="00265C48"/>
    <w:rsid w:val="00267736"/>
    <w:rsid w:val="00276EB3"/>
    <w:rsid w:val="00292C3D"/>
    <w:rsid w:val="00293B4E"/>
    <w:rsid w:val="002A680E"/>
    <w:rsid w:val="002B09D9"/>
    <w:rsid w:val="002B347E"/>
    <w:rsid w:val="002C2D33"/>
    <w:rsid w:val="002D2B93"/>
    <w:rsid w:val="002D679B"/>
    <w:rsid w:val="002E052C"/>
    <w:rsid w:val="002E14D6"/>
    <w:rsid w:val="002E1B0C"/>
    <w:rsid w:val="002E2EC9"/>
    <w:rsid w:val="002E624E"/>
    <w:rsid w:val="002F0355"/>
    <w:rsid w:val="002F1ACE"/>
    <w:rsid w:val="002F23E8"/>
    <w:rsid w:val="002F3483"/>
    <w:rsid w:val="002F577F"/>
    <w:rsid w:val="002F6C33"/>
    <w:rsid w:val="002F6DBC"/>
    <w:rsid w:val="003074D9"/>
    <w:rsid w:val="00311C52"/>
    <w:rsid w:val="003252D3"/>
    <w:rsid w:val="00326E91"/>
    <w:rsid w:val="00327C01"/>
    <w:rsid w:val="003306F9"/>
    <w:rsid w:val="00335503"/>
    <w:rsid w:val="003403A9"/>
    <w:rsid w:val="00350F9B"/>
    <w:rsid w:val="003567F0"/>
    <w:rsid w:val="0037212A"/>
    <w:rsid w:val="00377601"/>
    <w:rsid w:val="003A4A09"/>
    <w:rsid w:val="003B4C5C"/>
    <w:rsid w:val="003B7F40"/>
    <w:rsid w:val="003C5ADA"/>
    <w:rsid w:val="003E0D4B"/>
    <w:rsid w:val="003E796D"/>
    <w:rsid w:val="003F3C35"/>
    <w:rsid w:val="003F7CC1"/>
    <w:rsid w:val="004139A4"/>
    <w:rsid w:val="00424976"/>
    <w:rsid w:val="00431E66"/>
    <w:rsid w:val="004332A1"/>
    <w:rsid w:val="00441A6F"/>
    <w:rsid w:val="00443346"/>
    <w:rsid w:val="00444A9F"/>
    <w:rsid w:val="004464E5"/>
    <w:rsid w:val="00460F6E"/>
    <w:rsid w:val="00464D35"/>
    <w:rsid w:val="004727FD"/>
    <w:rsid w:val="00480378"/>
    <w:rsid w:val="004826B6"/>
    <w:rsid w:val="0048436D"/>
    <w:rsid w:val="004A6DE8"/>
    <w:rsid w:val="004B2388"/>
    <w:rsid w:val="004C0488"/>
    <w:rsid w:val="004C1E9C"/>
    <w:rsid w:val="004C314B"/>
    <w:rsid w:val="004C389A"/>
    <w:rsid w:val="004D0BAD"/>
    <w:rsid w:val="004D4D8F"/>
    <w:rsid w:val="004D585F"/>
    <w:rsid w:val="004E483C"/>
    <w:rsid w:val="004F4954"/>
    <w:rsid w:val="004F5229"/>
    <w:rsid w:val="004F5F0F"/>
    <w:rsid w:val="00500F00"/>
    <w:rsid w:val="005038A2"/>
    <w:rsid w:val="00506B1D"/>
    <w:rsid w:val="005077F9"/>
    <w:rsid w:val="00512491"/>
    <w:rsid w:val="00515680"/>
    <w:rsid w:val="0052030F"/>
    <w:rsid w:val="00523D70"/>
    <w:rsid w:val="005248AC"/>
    <w:rsid w:val="0052491A"/>
    <w:rsid w:val="0053563F"/>
    <w:rsid w:val="0054072C"/>
    <w:rsid w:val="00545871"/>
    <w:rsid w:val="00553119"/>
    <w:rsid w:val="005556F8"/>
    <w:rsid w:val="005562D5"/>
    <w:rsid w:val="00571098"/>
    <w:rsid w:val="005739F3"/>
    <w:rsid w:val="00577CF2"/>
    <w:rsid w:val="005819F8"/>
    <w:rsid w:val="00581AED"/>
    <w:rsid w:val="00596380"/>
    <w:rsid w:val="005A0098"/>
    <w:rsid w:val="005A4C90"/>
    <w:rsid w:val="005B08F5"/>
    <w:rsid w:val="005B4898"/>
    <w:rsid w:val="005B5C74"/>
    <w:rsid w:val="005C5629"/>
    <w:rsid w:val="005C6DA3"/>
    <w:rsid w:val="005C7A15"/>
    <w:rsid w:val="005E3336"/>
    <w:rsid w:val="005E3E27"/>
    <w:rsid w:val="005E7520"/>
    <w:rsid w:val="005F3007"/>
    <w:rsid w:val="005F5E2E"/>
    <w:rsid w:val="005F7CD8"/>
    <w:rsid w:val="00602F83"/>
    <w:rsid w:val="006244F9"/>
    <w:rsid w:val="006259B1"/>
    <w:rsid w:val="00635444"/>
    <w:rsid w:val="00637C21"/>
    <w:rsid w:val="006407ED"/>
    <w:rsid w:val="0066033E"/>
    <w:rsid w:val="00674ABA"/>
    <w:rsid w:val="00681E91"/>
    <w:rsid w:val="00686DE6"/>
    <w:rsid w:val="006A3EBD"/>
    <w:rsid w:val="006A6CC6"/>
    <w:rsid w:val="006B2A91"/>
    <w:rsid w:val="006B79A1"/>
    <w:rsid w:val="006C3043"/>
    <w:rsid w:val="006C33E8"/>
    <w:rsid w:val="006C4E64"/>
    <w:rsid w:val="006D7167"/>
    <w:rsid w:val="006F22DB"/>
    <w:rsid w:val="006F6EB0"/>
    <w:rsid w:val="00700E99"/>
    <w:rsid w:val="007021EA"/>
    <w:rsid w:val="00703234"/>
    <w:rsid w:val="0071132D"/>
    <w:rsid w:val="00717255"/>
    <w:rsid w:val="0072209D"/>
    <w:rsid w:val="00726AE5"/>
    <w:rsid w:val="00730A8F"/>
    <w:rsid w:val="0073177C"/>
    <w:rsid w:val="00732825"/>
    <w:rsid w:val="00736437"/>
    <w:rsid w:val="0074041A"/>
    <w:rsid w:val="007410D8"/>
    <w:rsid w:val="00742A8F"/>
    <w:rsid w:val="007451ED"/>
    <w:rsid w:val="00746E75"/>
    <w:rsid w:val="007704D5"/>
    <w:rsid w:val="00777527"/>
    <w:rsid w:val="0078114A"/>
    <w:rsid w:val="00782D2F"/>
    <w:rsid w:val="00784B59"/>
    <w:rsid w:val="00784DC6"/>
    <w:rsid w:val="007908C3"/>
    <w:rsid w:val="00792CD6"/>
    <w:rsid w:val="007942D4"/>
    <w:rsid w:val="00797C86"/>
    <w:rsid w:val="007A5040"/>
    <w:rsid w:val="007B1FD4"/>
    <w:rsid w:val="007B7EC1"/>
    <w:rsid w:val="007D009B"/>
    <w:rsid w:val="007D4BF3"/>
    <w:rsid w:val="007E433A"/>
    <w:rsid w:val="007E49AD"/>
    <w:rsid w:val="007E7A41"/>
    <w:rsid w:val="00817CA0"/>
    <w:rsid w:val="00840125"/>
    <w:rsid w:val="00841581"/>
    <w:rsid w:val="00852F64"/>
    <w:rsid w:val="008547D9"/>
    <w:rsid w:val="00865856"/>
    <w:rsid w:val="00867D8F"/>
    <w:rsid w:val="00871A10"/>
    <w:rsid w:val="00877BF9"/>
    <w:rsid w:val="0088175E"/>
    <w:rsid w:val="00881DDD"/>
    <w:rsid w:val="00882FB5"/>
    <w:rsid w:val="008865FC"/>
    <w:rsid w:val="008A5D4F"/>
    <w:rsid w:val="008B4102"/>
    <w:rsid w:val="008C334B"/>
    <w:rsid w:val="008D361F"/>
    <w:rsid w:val="008E0E6E"/>
    <w:rsid w:val="008F0C5D"/>
    <w:rsid w:val="008F32AE"/>
    <w:rsid w:val="009019B8"/>
    <w:rsid w:val="00907583"/>
    <w:rsid w:val="00911D65"/>
    <w:rsid w:val="00917F69"/>
    <w:rsid w:val="0092052D"/>
    <w:rsid w:val="0092188D"/>
    <w:rsid w:val="0093035F"/>
    <w:rsid w:val="00930C79"/>
    <w:rsid w:val="009518FD"/>
    <w:rsid w:val="009523CA"/>
    <w:rsid w:val="00953AE6"/>
    <w:rsid w:val="00955382"/>
    <w:rsid w:val="00960325"/>
    <w:rsid w:val="00963078"/>
    <w:rsid w:val="00963879"/>
    <w:rsid w:val="00966CDB"/>
    <w:rsid w:val="00967129"/>
    <w:rsid w:val="00967F2E"/>
    <w:rsid w:val="00971133"/>
    <w:rsid w:val="00985EE9"/>
    <w:rsid w:val="00991236"/>
    <w:rsid w:val="0099159E"/>
    <w:rsid w:val="00991872"/>
    <w:rsid w:val="0099407F"/>
    <w:rsid w:val="0099499C"/>
    <w:rsid w:val="009A04B1"/>
    <w:rsid w:val="009A624C"/>
    <w:rsid w:val="009B64A3"/>
    <w:rsid w:val="009C1FEA"/>
    <w:rsid w:val="009C60D6"/>
    <w:rsid w:val="009D7514"/>
    <w:rsid w:val="009E43B2"/>
    <w:rsid w:val="009E563F"/>
    <w:rsid w:val="009F22EB"/>
    <w:rsid w:val="00A12400"/>
    <w:rsid w:val="00A24DAA"/>
    <w:rsid w:val="00A33C9D"/>
    <w:rsid w:val="00A37860"/>
    <w:rsid w:val="00A46E39"/>
    <w:rsid w:val="00A8074F"/>
    <w:rsid w:val="00A8266B"/>
    <w:rsid w:val="00A830EF"/>
    <w:rsid w:val="00A83CDB"/>
    <w:rsid w:val="00A95A8D"/>
    <w:rsid w:val="00AA78C3"/>
    <w:rsid w:val="00AC11EA"/>
    <w:rsid w:val="00AC464F"/>
    <w:rsid w:val="00AD7427"/>
    <w:rsid w:val="00AE5965"/>
    <w:rsid w:val="00AF65B8"/>
    <w:rsid w:val="00B0016E"/>
    <w:rsid w:val="00B00893"/>
    <w:rsid w:val="00B00A5D"/>
    <w:rsid w:val="00B10FEC"/>
    <w:rsid w:val="00B11617"/>
    <w:rsid w:val="00B13802"/>
    <w:rsid w:val="00B14F40"/>
    <w:rsid w:val="00B42DDB"/>
    <w:rsid w:val="00B47286"/>
    <w:rsid w:val="00B55532"/>
    <w:rsid w:val="00B56025"/>
    <w:rsid w:val="00B62603"/>
    <w:rsid w:val="00B76D26"/>
    <w:rsid w:val="00B76D33"/>
    <w:rsid w:val="00B801A0"/>
    <w:rsid w:val="00B82086"/>
    <w:rsid w:val="00B87377"/>
    <w:rsid w:val="00BA150D"/>
    <w:rsid w:val="00BA2255"/>
    <w:rsid w:val="00BA2277"/>
    <w:rsid w:val="00BB1E19"/>
    <w:rsid w:val="00BB21D4"/>
    <w:rsid w:val="00BB4D5C"/>
    <w:rsid w:val="00BB744A"/>
    <w:rsid w:val="00BC3BE2"/>
    <w:rsid w:val="00BC5238"/>
    <w:rsid w:val="00BC7FB8"/>
    <w:rsid w:val="00BD2006"/>
    <w:rsid w:val="00BD667D"/>
    <w:rsid w:val="00BE341F"/>
    <w:rsid w:val="00BF4ACE"/>
    <w:rsid w:val="00C06610"/>
    <w:rsid w:val="00C149EE"/>
    <w:rsid w:val="00C22E55"/>
    <w:rsid w:val="00C30765"/>
    <w:rsid w:val="00C3514B"/>
    <w:rsid w:val="00C35332"/>
    <w:rsid w:val="00C36234"/>
    <w:rsid w:val="00C44455"/>
    <w:rsid w:val="00C54805"/>
    <w:rsid w:val="00C67583"/>
    <w:rsid w:val="00C907AC"/>
    <w:rsid w:val="00C91BDC"/>
    <w:rsid w:val="00C91E02"/>
    <w:rsid w:val="00CA116C"/>
    <w:rsid w:val="00CA5722"/>
    <w:rsid w:val="00CB2465"/>
    <w:rsid w:val="00CB750F"/>
    <w:rsid w:val="00CC29FA"/>
    <w:rsid w:val="00CC6B43"/>
    <w:rsid w:val="00CD19B3"/>
    <w:rsid w:val="00CD274B"/>
    <w:rsid w:val="00CD2BC5"/>
    <w:rsid w:val="00CD57DC"/>
    <w:rsid w:val="00CE1B23"/>
    <w:rsid w:val="00CE22B0"/>
    <w:rsid w:val="00CE249D"/>
    <w:rsid w:val="00CE6570"/>
    <w:rsid w:val="00CF3E86"/>
    <w:rsid w:val="00CF628E"/>
    <w:rsid w:val="00CF6E81"/>
    <w:rsid w:val="00CF6F82"/>
    <w:rsid w:val="00D05A2E"/>
    <w:rsid w:val="00D23649"/>
    <w:rsid w:val="00D23882"/>
    <w:rsid w:val="00D30803"/>
    <w:rsid w:val="00D317C1"/>
    <w:rsid w:val="00D35091"/>
    <w:rsid w:val="00D46FB4"/>
    <w:rsid w:val="00D5291D"/>
    <w:rsid w:val="00D602D8"/>
    <w:rsid w:val="00D61BAD"/>
    <w:rsid w:val="00D637F6"/>
    <w:rsid w:val="00D65D55"/>
    <w:rsid w:val="00D81342"/>
    <w:rsid w:val="00D85F86"/>
    <w:rsid w:val="00D8767A"/>
    <w:rsid w:val="00D97421"/>
    <w:rsid w:val="00DA146C"/>
    <w:rsid w:val="00DA6916"/>
    <w:rsid w:val="00DB6057"/>
    <w:rsid w:val="00DB71EE"/>
    <w:rsid w:val="00DC338F"/>
    <w:rsid w:val="00DC3B6D"/>
    <w:rsid w:val="00DD1660"/>
    <w:rsid w:val="00DD465C"/>
    <w:rsid w:val="00DE33D0"/>
    <w:rsid w:val="00DE3759"/>
    <w:rsid w:val="00DE46BD"/>
    <w:rsid w:val="00DF0839"/>
    <w:rsid w:val="00DF5A71"/>
    <w:rsid w:val="00E000F1"/>
    <w:rsid w:val="00E00480"/>
    <w:rsid w:val="00E03A3A"/>
    <w:rsid w:val="00E1135D"/>
    <w:rsid w:val="00E24F22"/>
    <w:rsid w:val="00E258DC"/>
    <w:rsid w:val="00E26D6B"/>
    <w:rsid w:val="00E36865"/>
    <w:rsid w:val="00E41E29"/>
    <w:rsid w:val="00E474AC"/>
    <w:rsid w:val="00E60F70"/>
    <w:rsid w:val="00E646FA"/>
    <w:rsid w:val="00E716E0"/>
    <w:rsid w:val="00E7702F"/>
    <w:rsid w:val="00E84FAD"/>
    <w:rsid w:val="00E855BF"/>
    <w:rsid w:val="00E8723A"/>
    <w:rsid w:val="00E95914"/>
    <w:rsid w:val="00EA1EA0"/>
    <w:rsid w:val="00EA5AB9"/>
    <w:rsid w:val="00EB106D"/>
    <w:rsid w:val="00EB453D"/>
    <w:rsid w:val="00EC3F8C"/>
    <w:rsid w:val="00EC5DF3"/>
    <w:rsid w:val="00ED05E6"/>
    <w:rsid w:val="00ED0D1C"/>
    <w:rsid w:val="00ED19E5"/>
    <w:rsid w:val="00ED27DE"/>
    <w:rsid w:val="00ED6E26"/>
    <w:rsid w:val="00EE04C7"/>
    <w:rsid w:val="00EE263E"/>
    <w:rsid w:val="00EF4573"/>
    <w:rsid w:val="00EF59CA"/>
    <w:rsid w:val="00F00E54"/>
    <w:rsid w:val="00F02D81"/>
    <w:rsid w:val="00F1261D"/>
    <w:rsid w:val="00F27CB4"/>
    <w:rsid w:val="00F35386"/>
    <w:rsid w:val="00F4023F"/>
    <w:rsid w:val="00F4156D"/>
    <w:rsid w:val="00F4362D"/>
    <w:rsid w:val="00F50821"/>
    <w:rsid w:val="00F5215A"/>
    <w:rsid w:val="00F674C4"/>
    <w:rsid w:val="00F7160C"/>
    <w:rsid w:val="00F76DDE"/>
    <w:rsid w:val="00F91787"/>
    <w:rsid w:val="00FA6660"/>
    <w:rsid w:val="00FB27BD"/>
    <w:rsid w:val="00FB7ACF"/>
    <w:rsid w:val="00FC5842"/>
    <w:rsid w:val="00FE538F"/>
    <w:rsid w:val="00FE7801"/>
    <w:rsid w:val="00FF3D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6F8CBC"/>
  <w15:docId w15:val="{F2C04A04-E28A-4775-A3CC-98294FA4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8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schungsvertragText">
    <w:name w:val="Forschungsvertrag Text"/>
    <w:basedOn w:val="Normal"/>
    <w:uiPriority w:val="99"/>
    <w:rsid w:val="00A95A8D"/>
    <w:pPr>
      <w:tabs>
        <w:tab w:val="left" w:pos="1134"/>
      </w:tabs>
      <w:spacing w:after="120" w:line="280" w:lineRule="atLeast"/>
      <w:ind w:left="675"/>
    </w:pPr>
    <w:rPr>
      <w:rFonts w:ascii="Arial" w:eastAsia="Times New Roman" w:hAnsi="Arial" w:cs="Arial"/>
      <w:lang w:val="de-CH" w:eastAsia="de-CH"/>
    </w:rPr>
  </w:style>
  <w:style w:type="character" w:styleId="PageNumber">
    <w:name w:val="page number"/>
    <w:basedOn w:val="DefaultParagraphFont"/>
    <w:uiPriority w:val="99"/>
    <w:semiHidden/>
    <w:unhideWhenUsed/>
    <w:rsid w:val="00267736"/>
  </w:style>
  <w:style w:type="paragraph" w:styleId="Header">
    <w:name w:val="header"/>
    <w:basedOn w:val="Normal"/>
    <w:link w:val="HeaderChar"/>
    <w:uiPriority w:val="99"/>
    <w:unhideWhenUsed/>
    <w:rsid w:val="0095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82"/>
    <w:rPr>
      <w:sz w:val="22"/>
      <w:szCs w:val="22"/>
      <w:lang w:eastAsia="en-US"/>
    </w:rPr>
  </w:style>
  <w:style w:type="paragraph" w:styleId="Footer">
    <w:name w:val="footer"/>
    <w:basedOn w:val="Normal"/>
    <w:link w:val="FooterChar"/>
    <w:uiPriority w:val="99"/>
    <w:unhideWhenUsed/>
    <w:rsid w:val="0095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82"/>
    <w:rPr>
      <w:sz w:val="22"/>
      <w:szCs w:val="22"/>
      <w:lang w:eastAsia="en-US"/>
    </w:rPr>
  </w:style>
  <w:style w:type="paragraph" w:styleId="ListParagraph">
    <w:name w:val="List Paragraph"/>
    <w:basedOn w:val="Normal"/>
    <w:uiPriority w:val="34"/>
    <w:qFormat/>
    <w:rsid w:val="00F1261D"/>
    <w:pPr>
      <w:ind w:left="720"/>
      <w:contextualSpacing/>
    </w:pPr>
  </w:style>
  <w:style w:type="table" w:styleId="TableGrid">
    <w:name w:val="Table Grid"/>
    <w:basedOn w:val="TableNormal"/>
    <w:uiPriority w:val="59"/>
    <w:rsid w:val="0000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65"/>
    <w:rPr>
      <w:rFonts w:ascii="Segoe UI" w:hAnsi="Segoe UI" w:cs="Segoe UI"/>
      <w:sz w:val="18"/>
      <w:szCs w:val="18"/>
      <w:lang w:eastAsia="en-US"/>
    </w:rPr>
  </w:style>
  <w:style w:type="character" w:styleId="Hyperlink">
    <w:name w:val="Hyperlink"/>
    <w:basedOn w:val="DefaultParagraphFont"/>
    <w:uiPriority w:val="99"/>
    <w:unhideWhenUsed/>
    <w:rsid w:val="001102C7"/>
    <w:rPr>
      <w:color w:val="6B9F25" w:themeColor="hyperlink"/>
      <w:u w:val="single"/>
    </w:rPr>
  </w:style>
  <w:style w:type="character" w:customStyle="1" w:styleId="UnresolvedMention1">
    <w:name w:val="Unresolved Mention1"/>
    <w:basedOn w:val="DefaultParagraphFont"/>
    <w:uiPriority w:val="99"/>
    <w:semiHidden/>
    <w:unhideWhenUsed/>
    <w:rsid w:val="001102C7"/>
    <w:rPr>
      <w:color w:val="605E5C"/>
      <w:shd w:val="clear" w:color="auto" w:fill="E1DFDD"/>
    </w:rPr>
  </w:style>
  <w:style w:type="paragraph" w:styleId="NormalWeb">
    <w:name w:val="Normal (Web)"/>
    <w:basedOn w:val="Normal"/>
    <w:uiPriority w:val="99"/>
    <w:semiHidden/>
    <w:unhideWhenUsed/>
    <w:rsid w:val="00B00893"/>
    <w:pPr>
      <w:spacing w:before="100" w:beforeAutospacing="1" w:after="100" w:afterAutospacing="1" w:line="240" w:lineRule="auto"/>
    </w:pPr>
    <w:rPr>
      <w:rFonts w:ascii="Times New Roman" w:eastAsiaTheme="minorEastAsia" w:hAnsi="Times New Roman"/>
      <w:sz w:val="24"/>
      <w:szCs w:val="24"/>
      <w:lang w:val="en-US"/>
    </w:rPr>
  </w:style>
  <w:style w:type="character" w:styleId="CommentReference">
    <w:name w:val="annotation reference"/>
    <w:basedOn w:val="DefaultParagraphFont"/>
    <w:uiPriority w:val="99"/>
    <w:semiHidden/>
    <w:unhideWhenUsed/>
    <w:rsid w:val="00D05A2E"/>
    <w:rPr>
      <w:sz w:val="16"/>
      <w:szCs w:val="16"/>
    </w:rPr>
  </w:style>
  <w:style w:type="paragraph" w:styleId="CommentText">
    <w:name w:val="annotation text"/>
    <w:basedOn w:val="Normal"/>
    <w:link w:val="CommentTextChar"/>
    <w:uiPriority w:val="99"/>
    <w:semiHidden/>
    <w:unhideWhenUsed/>
    <w:rsid w:val="00D05A2E"/>
    <w:pPr>
      <w:spacing w:line="240" w:lineRule="auto"/>
    </w:pPr>
    <w:rPr>
      <w:sz w:val="20"/>
      <w:szCs w:val="20"/>
    </w:rPr>
  </w:style>
  <w:style w:type="character" w:customStyle="1" w:styleId="CommentTextChar">
    <w:name w:val="Comment Text Char"/>
    <w:basedOn w:val="DefaultParagraphFont"/>
    <w:link w:val="CommentText"/>
    <w:uiPriority w:val="99"/>
    <w:semiHidden/>
    <w:rsid w:val="00D05A2E"/>
    <w:rPr>
      <w:lang w:eastAsia="en-US"/>
    </w:rPr>
  </w:style>
  <w:style w:type="paragraph" w:styleId="CommentSubject">
    <w:name w:val="annotation subject"/>
    <w:basedOn w:val="CommentText"/>
    <w:next w:val="CommentText"/>
    <w:link w:val="CommentSubjectChar"/>
    <w:uiPriority w:val="99"/>
    <w:semiHidden/>
    <w:unhideWhenUsed/>
    <w:rsid w:val="00D05A2E"/>
    <w:rPr>
      <w:b/>
      <w:bCs/>
    </w:rPr>
  </w:style>
  <w:style w:type="character" w:customStyle="1" w:styleId="CommentSubjectChar">
    <w:name w:val="Comment Subject Char"/>
    <w:basedOn w:val="CommentTextChar"/>
    <w:link w:val="CommentSubject"/>
    <w:uiPriority w:val="99"/>
    <w:semiHidden/>
    <w:rsid w:val="00D05A2E"/>
    <w:rPr>
      <w:b/>
      <w:bCs/>
      <w:lang w:eastAsia="en-US"/>
    </w:rPr>
  </w:style>
  <w:style w:type="paragraph" w:styleId="FootnoteText">
    <w:name w:val="footnote text"/>
    <w:basedOn w:val="Normal"/>
    <w:link w:val="FootnoteTextChar"/>
    <w:uiPriority w:val="99"/>
    <w:unhideWhenUsed/>
    <w:rsid w:val="004D4D8F"/>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4D4D8F"/>
    <w:rPr>
      <w:rFonts w:asciiTheme="minorHAnsi" w:hAnsiTheme="minorHAnsi"/>
      <w:sz w:val="18"/>
      <w:lang w:eastAsia="en-US"/>
    </w:rPr>
  </w:style>
  <w:style w:type="character" w:styleId="FootnoteReference">
    <w:name w:val="footnote reference"/>
    <w:basedOn w:val="DefaultParagraphFont"/>
    <w:uiPriority w:val="99"/>
    <w:semiHidden/>
    <w:unhideWhenUsed/>
    <w:rsid w:val="00350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2sprediction.net/" TargetMode="External"/><Relationship Id="rId2" Type="http://schemas.openxmlformats.org/officeDocument/2006/relationships/hyperlink" Target="https://www.wmo.int/pages/prog/arep/wwrp/tmr/monsoon-panel.html" TargetMode="External"/><Relationship Id="rId1" Type="http://schemas.openxmlformats.org/officeDocument/2006/relationships/hyperlink" Target="http://www.clivar.org/clivar-panels/monsoons" TargetMode="External"/><Relationship Id="rId4" Type="http://schemas.openxmlformats.org/officeDocument/2006/relationships/hyperlink" Target="https://council.science/wp-content/uploads/2018/08/WCRP_Report_full_screen_16112018.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A623-FEB7-4AB6-8639-8861484A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Kumar Kolli</dc:creator>
  <cp:keywords/>
  <cp:lastModifiedBy>Rupakumar Kolli</cp:lastModifiedBy>
  <cp:revision>2</cp:revision>
  <cp:lastPrinted>2019-12-31T11:17:00Z</cp:lastPrinted>
  <dcterms:created xsi:type="dcterms:W3CDTF">2020-02-04T09:26:00Z</dcterms:created>
  <dcterms:modified xsi:type="dcterms:W3CDTF">2020-02-04T09:26:00Z</dcterms:modified>
</cp:coreProperties>
</file>